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5F" w:rsidRDefault="00444D5E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35560</wp:posOffset>
            </wp:positionV>
            <wp:extent cx="1310640" cy="147891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5F" w:rsidRDefault="00444D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Direction des services de l’Education nationale de Saône-et-Loire</w:t>
      </w:r>
    </w:p>
    <w:p w:rsidR="006C3A5F" w:rsidRDefault="006C3A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C3A5F" w:rsidRDefault="00EB44D5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PROJET PEDAGOGIQUE 2019-2020</w:t>
      </w:r>
    </w:p>
    <w:p w:rsidR="006C3A5F" w:rsidRDefault="00444D5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1"/>
      <w:bookmarkEnd w:id="0"/>
      <w:proofErr w:type="gramStart"/>
      <w:r>
        <w:rPr>
          <w:b/>
          <w:sz w:val="24"/>
          <w:szCs w:val="24"/>
        </w:rPr>
        <w:t>impliquant</w:t>
      </w:r>
      <w:proofErr w:type="gramEnd"/>
      <w:r>
        <w:rPr>
          <w:b/>
          <w:sz w:val="24"/>
          <w:szCs w:val="24"/>
        </w:rPr>
        <w:t xml:space="preserve"> des intervenants extérieurs pour participer aux activités scolaires</w:t>
      </w:r>
    </w:p>
    <w:p w:rsidR="006C3A5F" w:rsidRDefault="006C3A5F">
      <w:pPr>
        <w:spacing w:after="0"/>
        <w:ind w:left="1985"/>
        <w:jc w:val="center"/>
        <w:rPr>
          <w:rFonts w:ascii="Times New Roman" w:hAnsi="Times New Roman" w:cs="Times New Roman"/>
          <w:b/>
          <w:i/>
          <w:spacing w:val="-4"/>
          <w:sz w:val="18"/>
          <w:szCs w:val="18"/>
        </w:rPr>
      </w:pPr>
    </w:p>
    <w:p w:rsidR="006C3A5F" w:rsidRDefault="00444D5E">
      <w:pPr>
        <w:spacing w:after="0"/>
        <w:ind w:left="198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8"/>
          <w:szCs w:val="18"/>
        </w:rPr>
        <w:t>Références règlementaires :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Articles D 551-1 et suivants du Code de l’Education – </w:t>
      </w:r>
      <w:r>
        <w:rPr>
          <w:rFonts w:ascii="Times New Roman" w:hAnsi="Times New Roman" w:cs="Times New Roman"/>
          <w:i/>
          <w:sz w:val="18"/>
          <w:szCs w:val="18"/>
        </w:rPr>
        <w:t xml:space="preserve">Décret </w:t>
      </w:r>
      <w:r>
        <w:rPr>
          <w:rFonts w:ascii="Arial" w:hAnsi="Arial" w:cs="Arial"/>
          <w:i/>
          <w:sz w:val="16"/>
          <w:szCs w:val="16"/>
        </w:rPr>
        <w:t>N°2017-766 du 4 mai 2017</w:t>
      </w:r>
    </w:p>
    <w:p w:rsidR="006C3A5F" w:rsidRDefault="00444D5E">
      <w:pPr>
        <w:spacing w:after="0"/>
        <w:ind w:left="198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Circulaires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n°92-196 du 3 juillet 1992 - </w:t>
      </w:r>
      <w:r>
        <w:rPr>
          <w:rFonts w:ascii="Arial" w:hAnsi="Arial" w:cs="Arial"/>
          <w:i/>
          <w:sz w:val="16"/>
          <w:szCs w:val="16"/>
        </w:rPr>
        <w:t>N°2017-116 du 6 octobre 2017 et 2017-127 du 22 août 2017</w:t>
      </w:r>
    </w:p>
    <w:p w:rsidR="006C3A5F" w:rsidRDefault="006C3A5F">
      <w:pPr>
        <w:spacing w:after="0"/>
        <w:jc w:val="center"/>
        <w:rPr>
          <w:i/>
          <w:sz w:val="4"/>
          <w:szCs w:val="4"/>
        </w:rPr>
      </w:pPr>
    </w:p>
    <w:p w:rsidR="006C3A5F" w:rsidRDefault="00444D5E">
      <w:pPr>
        <w:tabs>
          <w:tab w:val="left" w:pos="1985"/>
        </w:tabs>
        <w:spacing w:after="0" w:line="240" w:lineRule="auto"/>
        <w:jc w:val="center"/>
        <w:rPr>
          <w:rFonts w:asciiTheme="minorHAnsi" w:hAnsiTheme="minorHAnsi"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ab/>
        <w:t>En EPS, l’agrément est obligatoire dès la première séance d’apprentissage.</w:t>
      </w:r>
    </w:p>
    <w:p w:rsidR="006C3A5F" w:rsidRDefault="006C3A5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C3A5F" w:rsidRDefault="00444D5E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Inspection de l’Education nationale – Circonscription de : _______________________________________</w:t>
      </w:r>
    </w:p>
    <w:p w:rsidR="006C3A5F" w:rsidRDefault="00444D5E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Ecole : _____________________________________ Ville_______________________________________</w:t>
      </w:r>
    </w:p>
    <w:p w:rsidR="006C3A5F" w:rsidRDefault="00444D5E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Classe : ___________________   Enseignant : _________________________________________________</w:t>
      </w:r>
    </w:p>
    <w:p w:rsidR="006C3A5F" w:rsidRDefault="006C3A5F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C3A5F" w:rsidRDefault="00444D5E">
      <w:pPr>
        <w:spacing w:before="120" w:after="0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Domaine disciplinaire: </w:t>
      </w:r>
      <w:r>
        <w:rPr>
          <w:rFonts w:ascii="Wingdings" w:hAnsi="Wingdings"/>
          <w:b/>
          <w:bCs/>
          <w:sz w:val="32"/>
          <w:szCs w:val="32"/>
        </w:rPr>
        <w:t></w:t>
      </w:r>
      <w:r>
        <w:rPr>
          <w:b/>
          <w:bCs/>
          <w:sz w:val="32"/>
          <w:szCs w:val="32"/>
        </w:rPr>
        <w:t xml:space="preserve">E.P.S.           </w:t>
      </w:r>
      <w:r>
        <w:rPr>
          <w:rFonts w:ascii="Wingdings" w:hAnsi="Wingdings"/>
          <w:b/>
          <w:bCs/>
          <w:sz w:val="32"/>
          <w:szCs w:val="32"/>
        </w:rPr>
        <w:t></w:t>
      </w:r>
      <w:r>
        <w:rPr>
          <w:b/>
          <w:bCs/>
          <w:sz w:val="32"/>
          <w:szCs w:val="32"/>
        </w:rPr>
        <w:t xml:space="preserve"> Arts et Culture </w:t>
      </w:r>
      <w:r>
        <w:rPr>
          <w:rFonts w:ascii="Wingdings" w:hAnsi="Wingdings"/>
          <w:b/>
          <w:bCs/>
          <w:sz w:val="32"/>
          <w:szCs w:val="32"/>
        </w:rPr>
        <w:t></w:t>
      </w:r>
      <w:r>
        <w:rPr>
          <w:b/>
          <w:bCs/>
          <w:sz w:val="32"/>
          <w:szCs w:val="32"/>
        </w:rPr>
        <w:t xml:space="preserve"> Autres </w:t>
      </w:r>
    </w:p>
    <w:p w:rsidR="00F71FC0" w:rsidRDefault="00444D5E" w:rsidP="006279F8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Activité ou thème du projet :   </w:t>
      </w:r>
      <w:r w:rsidR="004E1B57">
        <w:rPr>
          <w:b/>
          <w:iCs/>
          <w:sz w:val="24"/>
          <w:szCs w:val="24"/>
        </w:rPr>
        <w:t xml:space="preserve">Natation </w:t>
      </w:r>
      <w:r>
        <w:rPr>
          <w:b/>
          <w:iCs/>
          <w:sz w:val="24"/>
          <w:szCs w:val="24"/>
        </w:rPr>
        <w:t xml:space="preserve">Piscine </w:t>
      </w:r>
      <w:proofErr w:type="spellStart"/>
      <w:r>
        <w:rPr>
          <w:b/>
          <w:iCs/>
          <w:sz w:val="24"/>
          <w:szCs w:val="24"/>
        </w:rPr>
        <w:t>Aquabresse</w:t>
      </w:r>
      <w:proofErr w:type="spellEnd"/>
      <w:r>
        <w:rPr>
          <w:b/>
          <w:iCs/>
          <w:sz w:val="24"/>
          <w:szCs w:val="24"/>
        </w:rPr>
        <w:t xml:space="preserve"> de Louhans  </w:t>
      </w:r>
    </w:p>
    <w:p w:rsidR="006C3A5F" w:rsidRDefault="00F71FC0" w:rsidP="006279F8">
      <w:pPr>
        <w:spacing w:after="0"/>
      </w:pPr>
      <w:r>
        <w:rPr>
          <w:b/>
          <w:iCs/>
          <w:sz w:val="24"/>
          <w:szCs w:val="24"/>
        </w:rPr>
        <w:t xml:space="preserve">                                                         GS-CP-CE1 : Familiarisation avec le milieu aquatique</w:t>
      </w:r>
      <w:r w:rsidR="004E1B57">
        <w:rPr>
          <w:b/>
          <w:iCs/>
          <w:sz w:val="24"/>
          <w:szCs w:val="24"/>
        </w:rPr>
        <w:t xml:space="preserve">                                                        </w:t>
      </w:r>
    </w:p>
    <w:tbl>
      <w:tblPr>
        <w:tblW w:w="10915" w:type="dxa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915"/>
      </w:tblGrid>
      <w:tr w:rsidR="006C3A5F">
        <w:trPr>
          <w:trHeight w:val="215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1/ Volet pédagogique</w:t>
            </w:r>
          </w:p>
        </w:tc>
      </w:tr>
      <w:tr w:rsidR="006C3A5F" w:rsidTr="006A079F">
        <w:trPr>
          <w:trHeight w:val="1697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1B57" w:rsidRDefault="00444D5E" w:rsidP="004E1B57">
            <w:pPr>
              <w:shd w:val="clear" w:color="auto" w:fill="B6DDE8" w:themeFill="accent5" w:themeFillTint="66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E1B57">
              <w:rPr>
                <w:rFonts w:asciiTheme="minorHAnsi" w:hAnsiTheme="minorHAnsi"/>
                <w:b/>
                <w:bCs/>
                <w:sz w:val="24"/>
                <w:szCs w:val="24"/>
              </w:rPr>
              <w:t>Lien</w:t>
            </w:r>
            <w:r w:rsidR="004E1B57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Pr="004E1B5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avec </w:t>
            </w:r>
            <w:r w:rsidR="004E1B5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le socle commun </w:t>
            </w:r>
            <w:r w:rsidR="009B2854">
              <w:rPr>
                <w:rFonts w:asciiTheme="minorHAnsi" w:hAnsiTheme="minorHAnsi"/>
                <w:b/>
                <w:bCs/>
                <w:sz w:val="24"/>
                <w:szCs w:val="24"/>
              </w:rPr>
              <w:t>de connaissances, de compétences et de culture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57" w:type="dxa"/>
                <w:left w:w="42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49"/>
              <w:gridCol w:w="2650"/>
            </w:tblGrid>
            <w:tr w:rsidR="006C3A5F" w:rsidTr="0055698F">
              <w:trPr>
                <w:trHeight w:val="246"/>
              </w:trPr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Pr="0055698F" w:rsidRDefault="00444D5E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</w:rPr>
                  </w:pPr>
                  <w:r w:rsidRPr="0055698F">
                    <w:rPr>
                      <w:rFonts w:cs="Arial"/>
                      <w:b/>
                    </w:rPr>
                    <w:t>Compétences travaillées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55698F" w:rsidRDefault="00444D5E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55698F">
                    <w:rPr>
                      <w:rFonts w:cs="Arial"/>
                      <w:b/>
                    </w:rPr>
                    <w:t>Domaines du socle</w:t>
                  </w:r>
                </w:p>
              </w:tc>
            </w:tr>
            <w:tr w:rsidR="006C3A5F" w:rsidTr="0055698F"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Default="00444D5E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Développer sa motricité et construire un langage du corps 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Prendre conscience des différentes ressources à mobiliser pour agir avec son corps. 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Adapter sa motricité à des environnements variés.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4E1B57" w:rsidRDefault="00444D5E">
                  <w:pPr>
                    <w:spacing w:after="0" w:line="240" w:lineRule="auto"/>
                    <w:rPr>
                      <w:rFonts w:asciiTheme="minorHAnsi" w:eastAsia="MS Mincho" w:hAnsiTheme="minorHAnsi" w:cs="Arial"/>
                      <w:i/>
                      <w:sz w:val="20"/>
                      <w:szCs w:val="20"/>
                    </w:rPr>
                  </w:pPr>
                  <w:r w:rsidRPr="004E1B57">
                    <w:rPr>
                      <w:rFonts w:eastAsia="MS Mincho" w:cs="Arial"/>
                      <w:sz w:val="20"/>
                      <w:szCs w:val="20"/>
                    </w:rPr>
                    <w:t xml:space="preserve">Domaine 1 : </w:t>
                  </w:r>
                  <w:r w:rsidRPr="004E1B57">
                    <w:rPr>
                      <w:rFonts w:eastAsia="MS Mincho" w:cs="Arial"/>
                      <w:i/>
                      <w:sz w:val="20"/>
                      <w:szCs w:val="20"/>
                    </w:rPr>
                    <w:t>Les langages pour penser et communiquer</w:t>
                  </w:r>
                </w:p>
              </w:tc>
            </w:tr>
            <w:tr w:rsidR="006C3A5F" w:rsidTr="0055698F"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Default="00444D5E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S’approprier seul ou à plusieurs, par la pratique, les méthodes et outils pour apprendre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Apprendre par essai-erreur en utilisant les effets de son action.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Apprendre à planifier son action avant de la réaliser.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4E1B57" w:rsidRDefault="00444D5E">
                  <w:pPr>
                    <w:spacing w:after="0" w:line="240" w:lineRule="auto"/>
                    <w:rPr>
                      <w:rFonts w:asciiTheme="minorHAnsi" w:eastAsia="MS Mincho" w:hAnsiTheme="minorHAnsi" w:cs="Arial"/>
                      <w:i/>
                      <w:sz w:val="20"/>
                      <w:szCs w:val="20"/>
                    </w:rPr>
                  </w:pPr>
                  <w:r w:rsidRPr="004E1B57">
                    <w:rPr>
                      <w:rFonts w:eastAsia="MS Mincho" w:cs="Arial"/>
                      <w:sz w:val="20"/>
                      <w:szCs w:val="20"/>
                    </w:rPr>
                    <w:t xml:space="preserve">Domaine 2 : </w:t>
                  </w:r>
                  <w:r w:rsidRPr="004E1B57">
                    <w:rPr>
                      <w:rFonts w:eastAsia="MS Mincho" w:cs="Arial"/>
                      <w:i/>
                      <w:sz w:val="20"/>
                      <w:szCs w:val="20"/>
                    </w:rPr>
                    <w:t>Les méthodes et outils pour apprendre</w:t>
                  </w:r>
                </w:p>
              </w:tc>
            </w:tr>
            <w:tr w:rsidR="006C3A5F" w:rsidTr="0055698F"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Default="00444D5E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Partager des règles, assumer des rôles et des responsabilités pour apprendre à vivre ensemble 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Élaborer, respecter et faire respecter règles et règlements.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4E1B57" w:rsidRDefault="00444D5E">
                  <w:pPr>
                    <w:spacing w:after="0" w:line="24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E1B57">
                    <w:rPr>
                      <w:rFonts w:eastAsia="MS Mincho" w:cs="Arial"/>
                      <w:sz w:val="20"/>
                      <w:szCs w:val="20"/>
                    </w:rPr>
                    <w:t xml:space="preserve">Domaine 3 : </w:t>
                  </w:r>
                  <w:r w:rsidRPr="004E1B57">
                    <w:rPr>
                      <w:rFonts w:eastAsia="MS Mincho" w:cs="Arial"/>
                      <w:i/>
                      <w:sz w:val="20"/>
                      <w:szCs w:val="20"/>
                    </w:rPr>
                    <w:t>La formation de la personne et du citoyen</w:t>
                  </w:r>
                </w:p>
              </w:tc>
            </w:tr>
          </w:tbl>
          <w:p w:rsidR="006C3A5F" w:rsidRDefault="004E1B57" w:rsidP="004E1B57">
            <w:pPr>
              <w:shd w:val="clear" w:color="auto" w:fill="B6DDE8" w:themeFill="accent5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Lien avec les programmes de 2015 : </w:t>
            </w:r>
            <w:r w:rsidR="00444D5E">
              <w:rPr>
                <w:rFonts w:cs="Arial"/>
                <w:b/>
                <w:sz w:val="24"/>
                <w:szCs w:val="24"/>
              </w:rPr>
              <w:t>Adapter ses déplacements à des environnements variés</w:t>
            </w:r>
          </w:p>
          <w:tbl>
            <w:tblPr>
              <w:tblW w:w="5000" w:type="pct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E1B57" w:rsidTr="00485DC1">
              <w:trPr>
                <w:trHeight w:val="1231"/>
              </w:trPr>
              <w:tc>
                <w:tcPr>
                  <w:tcW w:w="10699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  <w:tcMar>
                    <w:left w:w="93" w:type="dxa"/>
                  </w:tcMar>
                  <w:vAlign w:val="center"/>
                </w:tcPr>
                <w:p w:rsidR="004E1B57" w:rsidRDefault="004E1B5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Cs/>
                      <w:sz w:val="20"/>
                      <w:szCs w:val="20"/>
                    </w:rPr>
                    <w:t xml:space="preserve">Attendus de fin de cycle </w:t>
                  </w:r>
                </w:p>
                <w:p w:rsidR="004E1B57" w:rsidRDefault="004E1B5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 déplacer dans l’eau sur une quinzaine de mètres sans appui et après un temps d’immersion.</w:t>
                  </w:r>
                </w:p>
                <w:p w:rsidR="004E1B57" w:rsidRDefault="004E1B5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Réaliser un parcours en adaptant ses déplacements à un environnement inhabituel. L’espace est aménagé et sécurisé.</w:t>
                  </w:r>
                </w:p>
                <w:p w:rsidR="004E1B57" w:rsidRPr="00EB44D5" w:rsidRDefault="004E1B5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Respecter les règles de sécurité qui s’appliquent. </w:t>
                  </w:r>
                </w:p>
                <w:p w:rsidR="004E1B57" w:rsidRDefault="004E1B57" w:rsidP="00485DC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Reconnaitre une situation à risque.</w:t>
                  </w:r>
                </w:p>
              </w:tc>
            </w:tr>
            <w:tr w:rsidR="006C3A5F" w:rsidTr="004E1B57">
              <w:tc>
                <w:tcPr>
                  <w:tcW w:w="106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6DDE8"/>
                  <w:tcMar>
                    <w:left w:w="93" w:type="dxa"/>
                  </w:tcMar>
                  <w:vAlign w:val="center"/>
                </w:tcPr>
                <w:p w:rsidR="006C3A5F" w:rsidRPr="004E1B57" w:rsidRDefault="00EB44D5" w:rsidP="000E636A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 w:rsidRPr="004E1B57">
                    <w:rPr>
                      <w:rFonts w:cs="Arial"/>
                      <w:b/>
                      <w:bCs/>
                      <w:sz w:val="24"/>
                      <w:szCs w:val="24"/>
                    </w:rPr>
                    <w:t>Repères de progressivité des compétences travaillées</w:t>
                  </w:r>
                  <w:r w:rsidR="00444D5E" w:rsidRPr="004E1B57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pendant le </w:t>
                  </w:r>
                  <w:r w:rsidR="000E636A">
                    <w:rPr>
                      <w:rFonts w:cs="Arial"/>
                      <w:b/>
                      <w:bCs/>
                      <w:sz w:val="24"/>
                      <w:szCs w:val="24"/>
                    </w:rPr>
                    <w:t>module</w:t>
                  </w:r>
                  <w:r w:rsidR="0055698F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(niveau 3 attendu)</w:t>
                  </w:r>
                </w:p>
              </w:tc>
            </w:tr>
            <w:tr w:rsidR="006C3A5F" w:rsidTr="004E1B57">
              <w:tc>
                <w:tcPr>
                  <w:tcW w:w="106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EB44D5" w:rsidRDefault="00EB44D5">
                  <w:pPr>
                    <w:spacing w:after="0" w:line="240" w:lineRule="auto"/>
                    <w:ind w:right="-87"/>
                    <w:rPr>
                      <w:rFonts w:cs="Arial"/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82"/>
                    <w:gridCol w:w="1942"/>
                    <w:gridCol w:w="2130"/>
                    <w:gridCol w:w="1967"/>
                    <w:gridCol w:w="2267"/>
                  </w:tblGrid>
                  <w:tr w:rsidR="00CE108C" w:rsidRPr="00B62028" w:rsidTr="006A079F">
                    <w:trPr>
                      <w:trHeight w:val="525"/>
                    </w:trPr>
                    <w:tc>
                      <w:tcPr>
                        <w:tcW w:w="2182" w:type="dxa"/>
                        <w:shd w:val="clear" w:color="auto" w:fill="595959"/>
                      </w:tcPr>
                      <w:p w:rsidR="00CE108C" w:rsidRPr="004C2FA9" w:rsidRDefault="00CE108C" w:rsidP="00605C8F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4C2FA9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Entrer dans l’eau</w:t>
                        </w:r>
                      </w:p>
                    </w:tc>
                    <w:tc>
                      <w:tcPr>
                        <w:tcW w:w="1942" w:type="dxa"/>
                        <w:shd w:val="clear" w:color="auto" w:fill="595959"/>
                      </w:tcPr>
                      <w:p w:rsidR="00CE108C" w:rsidRPr="004C2FA9" w:rsidRDefault="00CE108C" w:rsidP="00605C8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4C2FA9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S’immerger pour se déplacer</w:t>
                        </w:r>
                      </w:p>
                      <w:p w:rsidR="00CE108C" w:rsidRPr="004C2FA9" w:rsidRDefault="00CE108C" w:rsidP="00605C8F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4C2FA9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sous l’eau</w:t>
                        </w:r>
                      </w:p>
                    </w:tc>
                    <w:tc>
                      <w:tcPr>
                        <w:tcW w:w="2130" w:type="dxa"/>
                        <w:shd w:val="clear" w:color="auto" w:fill="595959"/>
                      </w:tcPr>
                      <w:p w:rsidR="00CE108C" w:rsidRPr="004C2FA9" w:rsidRDefault="00CE108C" w:rsidP="00605C8F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4C2FA9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Se laisser flotter un instant</w:t>
                        </w:r>
                      </w:p>
                    </w:tc>
                    <w:tc>
                      <w:tcPr>
                        <w:tcW w:w="1967" w:type="dxa"/>
                        <w:shd w:val="clear" w:color="auto" w:fill="595959"/>
                      </w:tcPr>
                      <w:p w:rsidR="00CE108C" w:rsidRPr="004C2FA9" w:rsidRDefault="00CE108C" w:rsidP="00605C8F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4C2FA9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Se déplacer</w:t>
                        </w:r>
                      </w:p>
                    </w:tc>
                    <w:tc>
                      <w:tcPr>
                        <w:tcW w:w="2267" w:type="dxa"/>
                        <w:shd w:val="clear" w:color="auto" w:fill="595959"/>
                      </w:tcPr>
                      <w:p w:rsidR="00CE108C" w:rsidRPr="004C2FA9" w:rsidRDefault="00CE108C" w:rsidP="00605C8F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4C2FA9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Découvrir et appliquer des règles d’hygiène et de sécurité</w:t>
                        </w:r>
                      </w:p>
                    </w:tc>
                  </w:tr>
                  <w:tr w:rsidR="00CE108C" w:rsidRPr="00B62028" w:rsidTr="006A079F">
                    <w:trPr>
                      <w:trHeight w:val="932"/>
                    </w:trPr>
                    <w:tc>
                      <w:tcPr>
                        <w:tcW w:w="2182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C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Entrer dans l’eau avec de l’aide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C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Mettre le visage sous l’eau</w:t>
                        </w:r>
                      </w:p>
                      <w:p w:rsidR="00CE108C" w:rsidRPr="006A079F" w:rsidRDefault="00CE108C" w:rsidP="00605C8F">
                        <w:pPr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C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Se laisser flotter quelques instants avec appui fixe dans la position de son choix</w:t>
                        </w:r>
                      </w:p>
                    </w:tc>
                    <w:tc>
                      <w:tcPr>
                        <w:tcW w:w="1967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C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Se déplacer sur quelques mètres sans aide à la flottaison </w:t>
                        </w:r>
                      </w:p>
                    </w:tc>
                    <w:tc>
                      <w:tcPr>
                        <w:tcW w:w="2267" w:type="dxa"/>
                        <w:vMerge w:val="restart"/>
                      </w:tcPr>
                      <w:p w:rsidR="00CE108C" w:rsidRDefault="00CE108C" w:rsidP="00605C8F">
                        <w:pPr>
                          <w:spacing w:after="0" w:line="240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  <w:p w:rsidR="00CE108C" w:rsidRDefault="00CE108C" w:rsidP="006A079F">
                        <w:pPr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89" w:hanging="189"/>
                          <w:rPr>
                            <w:sz w:val="20"/>
                            <w:szCs w:val="20"/>
                          </w:rPr>
                        </w:pPr>
                        <w:r w:rsidRPr="00B62028">
                          <w:rPr>
                            <w:sz w:val="20"/>
                            <w:szCs w:val="20"/>
                          </w:rPr>
                          <w:t>Appliquer quelques règles de base de sécurité (exemple : ne pas courir quel que soit le lieu,…)</w:t>
                        </w:r>
                      </w:p>
                      <w:p w:rsidR="00CE108C" w:rsidRPr="00B62028" w:rsidRDefault="00CE108C" w:rsidP="006A079F">
                        <w:pPr>
                          <w:spacing w:after="0" w:line="240" w:lineRule="auto"/>
                          <w:ind w:left="189" w:hanging="189"/>
                          <w:rPr>
                            <w:sz w:val="20"/>
                            <w:szCs w:val="20"/>
                          </w:rPr>
                        </w:pPr>
                      </w:p>
                      <w:p w:rsidR="00CE108C" w:rsidRDefault="00CE108C" w:rsidP="006A079F">
                        <w:pPr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89" w:hanging="189"/>
                          <w:rPr>
                            <w:sz w:val="20"/>
                            <w:szCs w:val="20"/>
                          </w:rPr>
                        </w:pPr>
                        <w:r w:rsidRPr="00B62028">
                          <w:rPr>
                            <w:sz w:val="20"/>
                            <w:szCs w:val="20"/>
                          </w:rPr>
                          <w:t>Respecter et comprendre ces règles</w:t>
                        </w:r>
                      </w:p>
                      <w:p w:rsidR="00CE108C" w:rsidRPr="00B62028" w:rsidRDefault="00CE108C" w:rsidP="006A079F">
                        <w:pPr>
                          <w:spacing w:after="0" w:line="240" w:lineRule="auto"/>
                          <w:ind w:left="189" w:hanging="189"/>
                          <w:rPr>
                            <w:sz w:val="20"/>
                            <w:szCs w:val="20"/>
                          </w:rPr>
                        </w:pPr>
                      </w:p>
                      <w:p w:rsidR="00CE108C" w:rsidRPr="00B62028" w:rsidRDefault="00CE108C" w:rsidP="006A079F">
                        <w:pPr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89" w:hanging="189"/>
                          <w:rPr>
                            <w:sz w:val="20"/>
                            <w:szCs w:val="20"/>
                          </w:rPr>
                        </w:pPr>
                        <w:r w:rsidRPr="00B62028">
                          <w:rPr>
                            <w:sz w:val="20"/>
                            <w:szCs w:val="20"/>
                          </w:rPr>
                          <w:t>Comprendre la nécessité de la douche</w:t>
                        </w:r>
                      </w:p>
                      <w:p w:rsidR="00CE108C" w:rsidRPr="00B62028" w:rsidRDefault="00CE108C" w:rsidP="00605C8F">
                        <w:pPr>
                          <w:spacing w:after="0" w:line="240" w:lineRule="auto"/>
                          <w:rPr>
                            <w:b/>
                            <w:i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</w:tr>
                  <w:tr w:rsidR="00CE108C" w:rsidRPr="00B62028" w:rsidTr="006A079F">
                    <w:trPr>
                      <w:trHeight w:val="755"/>
                    </w:trPr>
                    <w:tc>
                      <w:tcPr>
                        <w:tcW w:w="2182" w:type="dxa"/>
                        <w:tcBorders>
                          <w:bottom w:val="single" w:sz="4" w:space="0" w:color="auto"/>
                        </w:tcBorders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D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Entrer dans l’eau sans aide  sans s’immerger</w:t>
                        </w:r>
                      </w:p>
                      <w:p w:rsidR="00CE108C" w:rsidRPr="006A079F" w:rsidRDefault="00CE108C" w:rsidP="00605C8F">
                        <w:pPr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bottom w:val="single" w:sz="4" w:space="0" w:color="auto"/>
                        </w:tcBorders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D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Mettre la tête sous l’eau sans se boucher le nez</w:t>
                        </w:r>
                      </w:p>
                      <w:p w:rsidR="00CE108C" w:rsidRPr="006A079F" w:rsidRDefault="00CE108C" w:rsidP="00605C8F">
                        <w:pPr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bottom w:val="single" w:sz="4" w:space="0" w:color="auto"/>
                        </w:tcBorders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D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Se laisser flotter quelques instants avec appui fuyant dans la position de son choix</w:t>
                        </w:r>
                      </w:p>
                    </w:tc>
                    <w:tc>
                      <w:tcPr>
                        <w:tcW w:w="1967" w:type="dxa"/>
                        <w:tcBorders>
                          <w:bottom w:val="single" w:sz="4" w:space="0" w:color="auto"/>
                        </w:tcBorders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D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Se déplacer sur une plus longue distance sans aide à la flottaison et avec reprise d’appuis</w:t>
                        </w:r>
                      </w:p>
                    </w:tc>
                    <w:tc>
                      <w:tcPr>
                        <w:tcW w:w="2267" w:type="dxa"/>
                        <w:vMerge/>
                      </w:tcPr>
                      <w:p w:rsidR="00CE108C" w:rsidRPr="00B62028" w:rsidRDefault="00CE108C" w:rsidP="00605C8F">
                        <w:pPr>
                          <w:spacing w:after="0" w:line="240" w:lineRule="auto"/>
                          <w:rPr>
                            <w:b/>
                            <w:i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</w:tr>
                  <w:tr w:rsidR="00CE108C" w:rsidRPr="00B62028" w:rsidTr="006A079F">
                    <w:trPr>
                      <w:trHeight w:val="1123"/>
                    </w:trPr>
                    <w:tc>
                      <w:tcPr>
                        <w:tcW w:w="2182" w:type="dxa"/>
                        <w:shd w:val="clear" w:color="auto" w:fill="D9D9D9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DINPro-Bold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E"/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Entrer dans l’eau sans aide en s’immergeant (bassin moyenne profondeur 1,20m)</w:t>
                        </w:r>
                      </w:p>
                      <w:p w:rsidR="00CE108C" w:rsidRPr="006A079F" w:rsidRDefault="00CE108C" w:rsidP="00605C8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D9D9D9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E"/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 Se déplacer brièvement sous l’eau en passant sous un obstacle </w:t>
                        </w:r>
                      </w:p>
                    </w:tc>
                    <w:tc>
                      <w:tcPr>
                        <w:tcW w:w="2130" w:type="dxa"/>
                        <w:shd w:val="clear" w:color="auto" w:fill="D9D9D9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E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Se laisser flotter quelques instants sans aide dans la position de son choix</w:t>
                        </w:r>
                      </w:p>
                      <w:p w:rsidR="00CE108C" w:rsidRPr="006A079F" w:rsidRDefault="00CE108C" w:rsidP="00605C8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7" w:type="dxa"/>
                        <w:shd w:val="clear" w:color="auto" w:fill="D9D9D9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sz w:val="20"/>
                            <w:szCs w:val="20"/>
                          </w:rPr>
                          <w:sym w:font="Wingdings" w:char="F08E"/>
                        </w:r>
                        <w:r w:rsidRPr="006A079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Se déplacer sur une 15aine  de mètres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 sans aide à la flottaison et sans reprise d’appuis</w:t>
                        </w:r>
                      </w:p>
                    </w:tc>
                    <w:tc>
                      <w:tcPr>
                        <w:tcW w:w="2267" w:type="dxa"/>
                        <w:vMerge/>
                      </w:tcPr>
                      <w:p w:rsidR="00CE108C" w:rsidRPr="00B62028" w:rsidRDefault="00CE108C" w:rsidP="00605C8F">
                        <w:pPr>
                          <w:spacing w:after="0" w:line="240" w:lineRule="auto"/>
                          <w:rPr>
                            <w:b/>
                            <w:i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</w:tr>
                  <w:tr w:rsidR="00CE108C" w:rsidRPr="00B62028" w:rsidTr="006A079F">
                    <w:trPr>
                      <w:trHeight w:val="1100"/>
                    </w:trPr>
                    <w:tc>
                      <w:tcPr>
                        <w:tcW w:w="2182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lastRenderedPageBreak/>
                          <w:sym w:font="Wingdings" w:char="F08F"/>
                        </w: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Regular"/>
                            <w:sz w:val="20"/>
                            <w:szCs w:val="20"/>
                            <w:lang w:eastAsia="fr-FR"/>
                          </w:rPr>
                          <w:t>Entrer dans l’eau sans aide en s’immergeant (grand bassin)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sym w:font="Wingdings" w:char="F08F"/>
                        </w: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Regular"/>
                            <w:sz w:val="20"/>
                            <w:szCs w:val="20"/>
                            <w:lang w:eastAsia="fr-FR"/>
                          </w:rPr>
                          <w:t xml:space="preserve">Se déplacer sous l’eau quelques secondes (&gt;3sec)   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sym w:font="Wingdings" w:char="F08F"/>
                        </w:r>
                        <w:r w:rsidRPr="006A079F">
                          <w:rPr>
                            <w:rFonts w:cs="DINPro-Bold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Se laisser flotter sans aide dans la position de son choix au moins 4 secondes </w:t>
                        </w:r>
                      </w:p>
                    </w:tc>
                    <w:tc>
                      <w:tcPr>
                        <w:tcW w:w="1967" w:type="dxa"/>
                      </w:tcPr>
                      <w:p w:rsidR="00CE108C" w:rsidRPr="006A079F" w:rsidRDefault="00CE108C" w:rsidP="00605C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sym w:font="Wingdings" w:char="F08F"/>
                        </w:r>
                        <w:r w:rsidRPr="006A079F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Se déplacer sur une distanc</w:t>
                        </w:r>
                        <w:r w:rsid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>e comprise entre 15 et 25 m</w:t>
                        </w:r>
                        <w:r w:rsidRPr="006A079F">
                          <w:rPr>
                            <w:rFonts w:cs="DINPro-Bold"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 sans aide à la flottaison et sans reprise d’appuis</w:t>
                        </w:r>
                      </w:p>
                    </w:tc>
                    <w:tc>
                      <w:tcPr>
                        <w:tcW w:w="2267" w:type="dxa"/>
                        <w:vMerge/>
                      </w:tcPr>
                      <w:p w:rsidR="00CE108C" w:rsidRPr="00B62028" w:rsidRDefault="00CE108C" w:rsidP="00605C8F">
                        <w:pPr>
                          <w:spacing w:after="0" w:line="240" w:lineRule="auto"/>
                          <w:rPr>
                            <w:b/>
                            <w:i/>
                            <w:color w:val="FFFFFF"/>
                            <w:sz w:val="20"/>
                            <w:szCs w:val="20"/>
                            <w:highlight w:val="blue"/>
                          </w:rPr>
                        </w:pPr>
                      </w:p>
                    </w:tc>
                  </w:tr>
                </w:tbl>
                <w:p w:rsidR="006C3A5F" w:rsidRDefault="006C3A5F">
                  <w:pPr>
                    <w:spacing w:after="0" w:line="24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C3A5F" w:rsidRPr="0055698F" w:rsidRDefault="006C3A5F">
            <w:pPr>
              <w:spacing w:after="0" w:line="240" w:lineRule="auto"/>
              <w:jc w:val="both"/>
              <w:rPr>
                <w:rFonts w:asciiTheme="minorHAnsi" w:hAnsiTheme="minorHAnsi"/>
                <w:iCs/>
                <w:sz w:val="10"/>
                <w:szCs w:val="10"/>
              </w:rPr>
            </w:pPr>
          </w:p>
        </w:tc>
      </w:tr>
      <w:tr w:rsidR="006C3A5F">
        <w:trPr>
          <w:trHeight w:val="3345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Description du projet – Contenus d’apprentissage</w:t>
            </w:r>
          </w:p>
          <w:p w:rsidR="006C3A5F" w:rsidRPr="006279F8" w:rsidRDefault="006C3A5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C3A5F" w:rsidRDefault="00444D5E">
            <w:pPr>
              <w:spacing w:after="0"/>
            </w:pPr>
            <w:r>
              <w:rPr>
                <w:rFonts w:cs="Arial"/>
              </w:rPr>
              <w:t>Le projet pédagogique se déroule à l’Espace aquatique de Louhans « </w:t>
            </w:r>
            <w:proofErr w:type="spellStart"/>
            <w:r>
              <w:rPr>
                <w:rFonts w:cs="Arial"/>
              </w:rPr>
              <w:t>Aquabresse</w:t>
            </w:r>
            <w:proofErr w:type="spellEnd"/>
            <w:r>
              <w:rPr>
                <w:rFonts w:cs="Arial"/>
              </w:rPr>
              <w:t xml:space="preserve"> » et utilise le matériel pédagogique de la piscine. Il s’appuie sur </w:t>
            </w:r>
            <w:r w:rsidR="00CC454F" w:rsidRPr="000E636A">
              <w:rPr>
                <w:rFonts w:cs="Arial"/>
                <w:b/>
                <w:bCs/>
                <w:color w:val="auto"/>
                <w:u w:val="single"/>
              </w:rPr>
              <w:t>la pro</w:t>
            </w:r>
            <w:r w:rsidR="0055698F" w:rsidRPr="000E636A">
              <w:rPr>
                <w:rFonts w:cs="Arial"/>
                <w:b/>
                <w:bCs/>
                <w:color w:val="auto"/>
                <w:u w:val="single"/>
              </w:rPr>
              <w:t>gression pédagogique</w:t>
            </w:r>
            <w:r w:rsidRPr="000E636A">
              <w:rPr>
                <w:rFonts w:cs="Arial"/>
                <w:b/>
                <w:bCs/>
                <w:color w:val="auto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u w:val="single"/>
              </w:rPr>
              <w:t>«</w:t>
            </w:r>
            <w:r w:rsidR="0055698F">
              <w:rPr>
                <w:rFonts w:cs="Arial"/>
                <w:b/>
                <w:bCs/>
                <w:u w:val="single"/>
              </w:rPr>
              <w:t xml:space="preserve"> </w:t>
            </w:r>
            <w:r w:rsidR="00F71FC0">
              <w:rPr>
                <w:rFonts w:cs="Arial"/>
                <w:b/>
                <w:bCs/>
                <w:u w:val="single"/>
              </w:rPr>
              <w:t>GS-CP-CE1, familiarisation avec le milieu aquatique</w:t>
            </w:r>
            <w:r>
              <w:rPr>
                <w:rFonts w:cs="Arial"/>
                <w:b/>
                <w:bCs/>
                <w:u w:val="single"/>
              </w:rPr>
              <w:t xml:space="preserve"> » </w:t>
            </w:r>
            <w:r>
              <w:rPr>
                <w:rFonts w:cs="Arial"/>
              </w:rPr>
              <w:t>précisant les contenus des séances</w:t>
            </w:r>
            <w:r w:rsidR="00CC454F">
              <w:rPr>
                <w:rFonts w:cs="Arial"/>
              </w:rPr>
              <w:t xml:space="preserve"> et l’aménagement évolutif du ou des bassins</w:t>
            </w:r>
            <w:r>
              <w:rPr>
                <w:rFonts w:cs="Arial"/>
              </w:rPr>
              <w:t>. (L'enseignant et les MNS attestent en avoir pris connaissance)</w:t>
            </w:r>
          </w:p>
          <w:p w:rsidR="00CC454F" w:rsidRDefault="00444D5E" w:rsidP="00CC454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Le </w:t>
            </w:r>
            <w:r w:rsidR="0055698F">
              <w:rPr>
                <w:rFonts w:cs="Arial"/>
                <w:b/>
                <w:bCs/>
              </w:rPr>
              <w:t>module est constitué de 12</w:t>
            </w:r>
            <w:r>
              <w:rPr>
                <w:rFonts w:cs="Arial"/>
                <w:b/>
                <w:bCs/>
              </w:rPr>
              <w:t xml:space="preserve"> séances de 40 minutes de pratique effective </w:t>
            </w:r>
            <w:r>
              <w:rPr>
                <w:rFonts w:cs="Arial"/>
              </w:rPr>
              <w:t xml:space="preserve">dans l’eau, à raison d’une </w:t>
            </w:r>
            <w:r w:rsidR="0055698F">
              <w:rPr>
                <w:rFonts w:cs="Arial"/>
              </w:rPr>
              <w:t xml:space="preserve">ou deux </w:t>
            </w:r>
            <w:r>
              <w:rPr>
                <w:rFonts w:cs="Arial"/>
              </w:rPr>
              <w:t>séance</w:t>
            </w:r>
            <w:r w:rsidR="0055698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par semaine. </w:t>
            </w:r>
            <w:r w:rsidR="0055698F">
              <w:rPr>
                <w:rFonts w:cs="Arial"/>
              </w:rPr>
              <w:t>Le nombre de zones</w:t>
            </w:r>
            <w:r w:rsidR="00CC454F">
              <w:rPr>
                <w:rFonts w:cs="Arial"/>
              </w:rPr>
              <w:t xml:space="preserve"> utilisées</w:t>
            </w:r>
            <w:r w:rsidR="0055698F">
              <w:rPr>
                <w:rFonts w:cs="Arial"/>
              </w:rPr>
              <w:t xml:space="preserve"> et de groupes est fonction de l’effectif du groupe classe et du nombre de bassins utilisés</w:t>
            </w:r>
            <w:r w:rsidR="00CC454F">
              <w:rPr>
                <w:rFonts w:cs="Arial"/>
              </w:rPr>
              <w:t xml:space="preserve"> (</w:t>
            </w:r>
            <w:proofErr w:type="spellStart"/>
            <w:r w:rsidR="00CC454F">
              <w:rPr>
                <w:rFonts w:cs="Arial"/>
              </w:rPr>
              <w:t>cf</w:t>
            </w:r>
            <w:proofErr w:type="spellEnd"/>
            <w:r w:rsidR="00CC454F">
              <w:rPr>
                <w:rFonts w:cs="Arial"/>
              </w:rPr>
              <w:t xml:space="preserve"> planning). </w:t>
            </w:r>
          </w:p>
          <w:p w:rsidR="006C3A5F" w:rsidRDefault="00444D5E" w:rsidP="000E636A">
            <w:pPr>
              <w:spacing w:after="0"/>
              <w:rPr>
                <w:rFonts w:asciiTheme="minorHAnsi" w:hAnsiTheme="minorHAnsi"/>
              </w:rPr>
            </w:pPr>
            <w:r>
              <w:rPr>
                <w:rFonts w:cs="Arial"/>
              </w:rPr>
              <w:t>A</w:t>
            </w:r>
            <w:r w:rsidR="00CC454F">
              <w:rPr>
                <w:rFonts w:cs="Arial"/>
              </w:rPr>
              <w:t>u cours d'une séance, un groupe</w:t>
            </w:r>
            <w:r>
              <w:rPr>
                <w:rFonts w:cs="Arial"/>
              </w:rPr>
              <w:t xml:space="preserve"> passera dans deux zones pour une durée de 20 minutes par zone. L’encadrement des ateliers est assuré par les enseignants, les professionnels qualifiés </w:t>
            </w:r>
            <w:r w:rsidR="00CC454F">
              <w:rPr>
                <w:rFonts w:cs="Arial"/>
              </w:rPr>
              <w:t xml:space="preserve"> (MNS)</w:t>
            </w:r>
            <w:r>
              <w:rPr>
                <w:rFonts w:cs="Arial"/>
              </w:rPr>
              <w:t xml:space="preserve"> et éventuellement </w:t>
            </w:r>
            <w:r w:rsidR="00FD52B3">
              <w:rPr>
                <w:rFonts w:cs="Arial"/>
              </w:rPr>
              <w:t xml:space="preserve"> </w:t>
            </w:r>
            <w:r w:rsidR="00FD52B3" w:rsidRPr="000E636A">
              <w:rPr>
                <w:rFonts w:cs="Arial"/>
                <w:color w:val="auto"/>
              </w:rPr>
              <w:t>un</w:t>
            </w:r>
            <w:r>
              <w:rPr>
                <w:rFonts w:cs="Arial"/>
              </w:rPr>
              <w:t xml:space="preserve"> </w:t>
            </w:r>
            <w:r w:rsidR="000E636A">
              <w:rPr>
                <w:rFonts w:cs="Arial"/>
              </w:rPr>
              <w:t>intervenant bénévole agréé</w:t>
            </w:r>
            <w:r>
              <w:rPr>
                <w:rFonts w:cs="Arial"/>
              </w:rPr>
              <w:t xml:space="preserve">. </w:t>
            </w:r>
          </w:p>
        </w:tc>
      </w:tr>
      <w:tr w:rsidR="006C3A5F" w:rsidTr="00CC454F">
        <w:trPr>
          <w:trHeight w:val="1615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  <w:b/>
                <w:bCs/>
              </w:rPr>
              <w:t xml:space="preserve">Modalités prévues d’évaluation des compétences </w:t>
            </w:r>
          </w:p>
          <w:p w:rsidR="006C3A5F" w:rsidRDefault="00444D5E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cs="Arial"/>
                <w:u w:val="single"/>
              </w:rPr>
              <w:t xml:space="preserve">Séance 1 </w:t>
            </w:r>
            <w:r>
              <w:rPr>
                <w:rFonts w:cs="Arial"/>
              </w:rPr>
              <w:t xml:space="preserve">: évaluation </w:t>
            </w:r>
            <w:r w:rsidR="00576C32">
              <w:rPr>
                <w:rFonts w:cs="Arial"/>
              </w:rPr>
              <w:t>diagnostique des élèves pour constitution des groupes.</w:t>
            </w:r>
          </w:p>
          <w:p w:rsidR="002A1E58" w:rsidRDefault="00CC454F" w:rsidP="00576C3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u w:val="single"/>
              </w:rPr>
              <w:t xml:space="preserve">Séance 12 : </w:t>
            </w:r>
            <w:r w:rsidRPr="00CC454F">
              <w:rPr>
                <w:rFonts w:cs="Arial"/>
              </w:rPr>
              <w:t>les enseignants</w:t>
            </w:r>
            <w:r>
              <w:rPr>
                <w:rFonts w:cs="Arial"/>
              </w:rPr>
              <w:t xml:space="preserve"> en accord avec les MNS proposent </w:t>
            </w:r>
            <w:r w:rsidR="00576C32">
              <w:rPr>
                <w:rFonts w:cs="Arial"/>
              </w:rPr>
              <w:t>un parcours simple et adapté à différents niveaux de compétences, permettant d’attester, pour chaque élève, son niveau atteint dans chacune des 5 compétences travaillées  (</w:t>
            </w:r>
            <w:r w:rsidR="00576C32" w:rsidRPr="00576C32">
              <w:rPr>
                <w:rFonts w:cs="Arial"/>
              </w:rPr>
              <w:t>Entrer dans l’eau</w:t>
            </w:r>
            <w:r w:rsidR="00576C32">
              <w:rPr>
                <w:rFonts w:cs="Arial"/>
              </w:rPr>
              <w:t xml:space="preserve"> - </w:t>
            </w:r>
            <w:r w:rsidR="00576C32" w:rsidRPr="00576C32">
              <w:rPr>
                <w:rFonts w:cs="Arial"/>
              </w:rPr>
              <w:t>S’immerger pour se déplacer</w:t>
            </w:r>
            <w:r w:rsidR="00576C32">
              <w:rPr>
                <w:rFonts w:cs="Arial"/>
              </w:rPr>
              <w:t xml:space="preserve"> </w:t>
            </w:r>
            <w:r w:rsidR="00576C32" w:rsidRPr="00576C32">
              <w:rPr>
                <w:rFonts w:cs="Arial"/>
              </w:rPr>
              <w:t>sous l’eau</w:t>
            </w:r>
            <w:r w:rsidR="00576C32">
              <w:rPr>
                <w:rFonts w:cs="Arial"/>
              </w:rPr>
              <w:t xml:space="preserve"> - </w:t>
            </w:r>
            <w:r w:rsidR="00576C32" w:rsidRPr="00576C32">
              <w:rPr>
                <w:rFonts w:cs="Arial"/>
              </w:rPr>
              <w:t>Se laisser flotter un instant</w:t>
            </w:r>
            <w:r w:rsidR="00576C32">
              <w:rPr>
                <w:rFonts w:cs="Arial"/>
              </w:rPr>
              <w:t xml:space="preserve"> - </w:t>
            </w:r>
            <w:r w:rsidR="00576C32" w:rsidRPr="00576C32">
              <w:rPr>
                <w:rFonts w:cs="Arial"/>
              </w:rPr>
              <w:t>Se déplacer</w:t>
            </w:r>
            <w:r w:rsidR="00576C32">
              <w:rPr>
                <w:rFonts w:cs="Arial"/>
              </w:rPr>
              <w:t xml:space="preserve"> - </w:t>
            </w:r>
            <w:r w:rsidR="00576C32" w:rsidRPr="00576C32">
              <w:rPr>
                <w:rFonts w:cs="Arial"/>
              </w:rPr>
              <w:t>Découvrir et appliquer des règles d’hygiène et de sécurité</w:t>
            </w:r>
            <w:r w:rsidR="00576C32">
              <w:rPr>
                <w:rFonts w:cs="Arial"/>
              </w:rPr>
              <w:t>)</w:t>
            </w:r>
          </w:p>
          <w:p w:rsidR="006C3A5F" w:rsidRDefault="00444D5E" w:rsidP="004A2E4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rial"/>
              </w:rPr>
              <w:t xml:space="preserve">Les résultats seront répertoriés sur le </w:t>
            </w:r>
            <w:r>
              <w:rPr>
                <w:rFonts w:cs="Arial"/>
                <w:bCs/>
              </w:rPr>
              <w:t>livret de natation</w:t>
            </w:r>
            <w:r>
              <w:rPr>
                <w:rFonts w:cs="Arial"/>
              </w:rPr>
              <w:t xml:space="preserve"> </w:t>
            </w:r>
            <w:r w:rsidR="002A1E58">
              <w:rPr>
                <w:rFonts w:cs="Arial"/>
              </w:rPr>
              <w:t xml:space="preserve">de l’élève qui le </w:t>
            </w:r>
            <w:r>
              <w:rPr>
                <w:rFonts w:cs="Arial"/>
              </w:rPr>
              <w:t xml:space="preserve">suit </w:t>
            </w:r>
            <w:r w:rsidR="004A2E42">
              <w:rPr>
                <w:rFonts w:cs="Arial"/>
              </w:rPr>
              <w:t>pendant tout son cycle 2</w:t>
            </w:r>
            <w:r>
              <w:rPr>
                <w:rFonts w:cs="Arial"/>
              </w:rPr>
              <w:t xml:space="preserve">. </w:t>
            </w:r>
          </w:p>
        </w:tc>
      </w:tr>
      <w:tr w:rsidR="006C3A5F">
        <w:trPr>
          <w:trHeight w:val="1129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Réinvestissement et interdisciplinarité</w:t>
            </w:r>
          </w:p>
          <w:p w:rsidR="006C3A5F" w:rsidRDefault="00444D5E" w:rsidP="006362D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Les séances sont préparées en amont avec un travail de présentation</w:t>
            </w:r>
            <w:r w:rsidR="006362D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de verbalisation </w:t>
            </w:r>
            <w:r w:rsidR="006362D4">
              <w:rPr>
                <w:rFonts w:cs="Arial"/>
              </w:rPr>
              <w:t xml:space="preserve">et d’explicitation </w:t>
            </w:r>
            <w:r>
              <w:rPr>
                <w:rFonts w:cs="Arial"/>
              </w:rPr>
              <w:t>en classe, ainsi qu’au retour a</w:t>
            </w:r>
            <w:r w:rsidR="006362D4">
              <w:rPr>
                <w:rFonts w:cs="Arial"/>
              </w:rPr>
              <w:t>vec une analyse des difficultés et des</w:t>
            </w:r>
            <w:r>
              <w:rPr>
                <w:rFonts w:cs="Arial"/>
              </w:rPr>
              <w:t xml:space="preserve"> réussites consignés dans le livret de natation.</w:t>
            </w:r>
          </w:p>
          <w:p w:rsidR="006362D4" w:rsidRDefault="006362D4" w:rsidP="006362D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</w:rPr>
              <w:t>Une réflexion doit être menée sur les situations à risque dans les différents lieux possibles de baignade.</w:t>
            </w:r>
          </w:p>
        </w:tc>
      </w:tr>
    </w:tbl>
    <w:tbl>
      <w:tblPr>
        <w:tblpPr w:leftFromText="141" w:rightFromText="141" w:vertAnchor="text" w:horzAnchor="margin" w:tblpXSpec="center" w:tblpY="96"/>
        <w:tblW w:w="109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01"/>
        <w:gridCol w:w="5314"/>
      </w:tblGrid>
      <w:tr w:rsidR="006C3A5F">
        <w:trPr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5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2/ Pilotage et suivi des actions</w:t>
            </w:r>
          </w:p>
        </w:tc>
      </w:tr>
      <w:tr w:rsidR="006C3A5F">
        <w:trPr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Les circulaires règlementaires de référence précisent l’obligation d’une concertation entre l’enseignant et l’intervenant extérieur</w:t>
            </w:r>
          </w:p>
        </w:tc>
      </w:tr>
      <w:tr w:rsidR="006C3A5F">
        <w:trPr>
          <w:trHeight w:val="1038"/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Modalités de la concertation entre l’enseignant et l’intervenant</w:t>
            </w:r>
          </w:p>
          <w:p w:rsidR="006C3A5F" w:rsidRDefault="00444D5E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A la fin de cha</w:t>
            </w:r>
            <w:r w:rsidR="006362D4">
              <w:rPr>
                <w:rFonts w:cs="Arial"/>
              </w:rPr>
              <w:t>que séance,</w:t>
            </w:r>
            <w:r>
              <w:rPr>
                <w:rFonts w:cs="Arial"/>
              </w:rPr>
              <w:t xml:space="preserve"> la classe est regroupée assise sur la première marche des gradins.</w:t>
            </w:r>
            <w:r w:rsidR="00636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Le MNS consigne le contenu de </w:t>
            </w:r>
            <w:r w:rsidR="006362D4">
              <w:rPr>
                <w:rFonts w:cs="Arial"/>
              </w:rPr>
              <w:t xml:space="preserve">la </w:t>
            </w:r>
            <w:r>
              <w:rPr>
                <w:rFonts w:cs="Arial"/>
              </w:rPr>
              <w:t>séance dans le fichier de la classe.</w:t>
            </w:r>
          </w:p>
          <w:p w:rsidR="006C3A5F" w:rsidRDefault="00444D5E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L'enseignant et les MNS attestent avoir pris connaissance de la convention signée entre la communa</w:t>
            </w:r>
            <w:r w:rsidR="00FA315E">
              <w:rPr>
                <w:rFonts w:cs="Arial"/>
              </w:rPr>
              <w:t>uté de communes "Bresse Louhannaise Intercom’</w:t>
            </w:r>
            <w:r>
              <w:rPr>
                <w:rFonts w:cs="Arial"/>
              </w:rPr>
              <w:t>" et la DSDEN de Saône-et-Loire définissant les conditions de mise en œuvre des activités de natation à l'espace aquatique de Louhans.</w:t>
            </w:r>
          </w:p>
        </w:tc>
      </w:tr>
      <w:tr w:rsidR="006C3A5F" w:rsidTr="006F7B1F">
        <w:trPr>
          <w:trHeight w:val="1199"/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Modalités d’organisation pédagogique </w:t>
            </w:r>
            <w:r w:rsidR="004A2E42">
              <w:rPr>
                <w:rFonts w:asciiTheme="minorHAnsi" w:hAnsiTheme="minorHAnsi"/>
                <w:b/>
                <w:bCs/>
              </w:rPr>
              <w:t xml:space="preserve">prévues en début de module </w:t>
            </w:r>
            <w:r>
              <w:rPr>
                <w:rFonts w:asciiTheme="minorHAnsi" w:hAnsiTheme="minorHAnsi"/>
                <w:b/>
                <w:bCs/>
              </w:rPr>
              <w:t>(dispositif, répartition des élèves, sécurité…)</w:t>
            </w:r>
          </w:p>
          <w:p w:rsidR="009B4576" w:rsidRDefault="009B4576" w:rsidP="009B457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4A2E42" w:rsidRDefault="009B4576" w:rsidP="009B4576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 xml:space="preserve">Nombre de groupes : </w:t>
            </w:r>
            <w:r w:rsidR="004A2E42">
              <w:rPr>
                <w:rFonts w:asciiTheme="minorHAnsi" w:hAnsiTheme="minorHAnsi"/>
                <w:bCs/>
              </w:rPr>
              <w:t xml:space="preserve">                  </w:t>
            </w:r>
            <w:r w:rsidRPr="006F7B1F">
              <w:rPr>
                <w:rFonts w:asciiTheme="minorHAnsi" w:hAnsiTheme="minorHAnsi"/>
                <w:bCs/>
              </w:rPr>
              <w:t xml:space="preserve">  </w:t>
            </w:r>
          </w:p>
          <w:p w:rsidR="004A2E42" w:rsidRDefault="009B4576" w:rsidP="004A2E42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 xml:space="preserve">Nombre de </w:t>
            </w:r>
            <w:proofErr w:type="spellStart"/>
            <w:r w:rsidRPr="006F7B1F">
              <w:rPr>
                <w:rFonts w:asciiTheme="minorHAnsi" w:hAnsiTheme="minorHAnsi"/>
                <w:bCs/>
              </w:rPr>
              <w:t>bassin-s</w:t>
            </w:r>
            <w:proofErr w:type="spellEnd"/>
            <w:r w:rsidRPr="006F7B1F">
              <w:rPr>
                <w:rFonts w:asciiTheme="minorHAnsi" w:hAnsiTheme="minorHAnsi"/>
                <w:bCs/>
              </w:rPr>
              <w:t xml:space="preserve"> : </w:t>
            </w:r>
          </w:p>
          <w:p w:rsidR="004A2E42" w:rsidRPr="006F7B1F" w:rsidRDefault="009B4576" w:rsidP="004A2E42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 xml:space="preserve">                                     </w:t>
            </w:r>
          </w:p>
          <w:p w:rsidR="009B4576" w:rsidRPr="006F7B1F" w:rsidRDefault="006F7B1F" w:rsidP="006F7B1F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>Le tableau de constitution des groupes devra être rempli à la fin de la première séance.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3A5F" w:rsidTr="009B4576">
        <w:trPr>
          <w:trHeight w:val="2257"/>
          <w:jc w:val="center"/>
        </w:trPr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0685" w:rsidRDefault="005406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Rôle de l’enseignant</w:t>
            </w:r>
          </w:p>
          <w:p w:rsidR="004A2E42" w:rsidRDefault="004A2E4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Dans la conduite du projet : 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L’enseignant assure le suivi du projet et arrête le projet si les conditions de sécurité ne sont pas requises.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Dans la conduite de la séance :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L’enseignant réexplique les consignes, contrôle leur application, apporte son aide, rassure et veille à la sécurité des enfants.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0685" w:rsidRDefault="005406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Rôle de l’intervenant (apports spécifiques)</w:t>
            </w:r>
          </w:p>
          <w:p w:rsidR="004A2E42" w:rsidRDefault="004A2E4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Dans la conduite du projet : 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Il suit les étapes définies dans le projet « Petit nageurs » sous la responsabilité de l’enseignant.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Dans la conduite de la séance :</w:t>
            </w:r>
          </w:p>
          <w:p w:rsidR="006C3A5F" w:rsidRDefault="00444D5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L’intervenant réexplique les consignes, contrôle leur application, apporte son aide, rassure et veille à la sécurité des enfants.</w:t>
            </w:r>
          </w:p>
          <w:p w:rsidR="004A2E42" w:rsidRDefault="004A2E42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6C3A5F" w:rsidRDefault="006C3A5F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6C3A5F" w:rsidRDefault="006C3A5F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576C32" w:rsidRDefault="00576C32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576C32" w:rsidRDefault="00576C32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tbl>
      <w:tblPr>
        <w:tblW w:w="10915" w:type="dxa"/>
        <w:jc w:val="center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1"/>
        <w:gridCol w:w="937"/>
        <w:gridCol w:w="3741"/>
        <w:gridCol w:w="5306"/>
      </w:tblGrid>
      <w:tr w:rsidR="006C3A5F">
        <w:trPr>
          <w:jc w:val="center"/>
        </w:trPr>
        <w:tc>
          <w:tcPr>
            <w:tcW w:w="1091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pct15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3/ </w:t>
            </w:r>
            <w:r>
              <w:rPr>
                <w:rFonts w:asciiTheme="minorHAnsi" w:hAnsiTheme="minorHAnsi"/>
                <w:b/>
                <w:bCs/>
              </w:rPr>
              <w:t>Montage technique</w:t>
            </w:r>
          </w:p>
        </w:tc>
      </w:tr>
      <w:tr w:rsidR="006C3A5F" w:rsidTr="009B4576">
        <w:trPr>
          <w:jc w:val="center"/>
        </w:trPr>
        <w:tc>
          <w:tcPr>
            <w:tcW w:w="1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Nb de séances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début de cycle :</w:t>
            </w:r>
          </w:p>
          <w:p w:rsidR="006C3A5F" w:rsidRDefault="00444D5E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fin de cycle :</w:t>
            </w:r>
          </w:p>
          <w:p w:rsidR="006C3A5F" w:rsidRDefault="00444D5E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Lieu d’intervention :</w:t>
            </w:r>
          </w:p>
        </w:tc>
        <w:tc>
          <w:tcPr>
            <w:tcW w:w="5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4576" w:rsidRDefault="009B4576" w:rsidP="009B457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9B4576" w:rsidP="009B45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444D5E">
              <w:rPr>
                <w:rFonts w:asciiTheme="minorHAnsi" w:hAnsiTheme="minorHAnsi"/>
              </w:rPr>
              <w:t>oraires :</w:t>
            </w:r>
          </w:p>
        </w:tc>
      </w:tr>
      <w:tr w:rsidR="006C3A5F">
        <w:trPr>
          <w:trHeight w:val="153"/>
          <w:jc w:val="center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avec intervenant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sans intervenant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6C3A5F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6C3A5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C3A5F" w:rsidTr="009D2862">
        <w:trPr>
          <w:trHeight w:val="668"/>
          <w:jc w:val="center"/>
        </w:trPr>
        <w:tc>
          <w:tcPr>
            <w:tcW w:w="9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6C3A5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9D286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6C3A5F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</w:rPr>
              <w:t>Date(s) et jour d’intervention :</w:t>
            </w:r>
          </w:p>
        </w:tc>
      </w:tr>
      <w:tr w:rsidR="006C3A5F">
        <w:trPr>
          <w:trHeight w:val="954"/>
          <w:jc w:val="center"/>
        </w:trPr>
        <w:tc>
          <w:tcPr>
            <w:tcW w:w="5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Enseignants : 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(NOM Prénom)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C3A5F" w:rsidRDefault="00444D5E">
            <w:pPr>
              <w:spacing w:after="0" w:line="240" w:lineRule="auto"/>
            </w:pPr>
            <w:bookmarkStart w:id="1" w:name="__DdeLink__312_522400245"/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Niveau de classe :                      Nombre d’élèves :                     </w:t>
            </w:r>
          </w:p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Niveau de classe :                      Nombre d’élèves :                     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i/>
              </w:rPr>
              <w:t>Signatures</w:t>
            </w:r>
          </w:p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i/>
              </w:rPr>
              <w:t>enseignants</w:t>
            </w:r>
          </w:p>
        </w:tc>
      </w:tr>
      <w:tr w:rsidR="006C3A5F">
        <w:trPr>
          <w:trHeight w:val="1045"/>
          <w:jc w:val="center"/>
        </w:trPr>
        <w:tc>
          <w:tcPr>
            <w:tcW w:w="5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D0748" w:rsidRDefault="009D07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minimum d’intervenants  rémunérés : </w:t>
            </w:r>
          </w:p>
          <w:p w:rsidR="009D0748" w:rsidRPr="009D0748" w:rsidRDefault="009D07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</w:rPr>
              <w:t xml:space="preserve">parmi la liste suivante </w:t>
            </w:r>
          </w:p>
          <w:p w:rsidR="006C3A5F" w:rsidRDefault="00444D5E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</w:rPr>
              <w:t xml:space="preserve">Bruno Guillot – Alexandre </w:t>
            </w:r>
            <w:proofErr w:type="spellStart"/>
            <w:r>
              <w:rPr>
                <w:rFonts w:ascii="Arial" w:hAnsi="Arial" w:cs="Arial"/>
              </w:rPr>
              <w:t>Cernéaz</w:t>
            </w:r>
            <w:proofErr w:type="spellEnd"/>
            <w:r>
              <w:rPr>
                <w:rFonts w:ascii="Arial" w:hAnsi="Arial" w:cs="Arial"/>
              </w:rPr>
              <w:t xml:space="preserve"> – Patrick </w:t>
            </w:r>
            <w:proofErr w:type="spellStart"/>
            <w:r>
              <w:rPr>
                <w:rFonts w:ascii="Arial" w:hAnsi="Arial" w:cs="Arial"/>
              </w:rPr>
              <w:t>Viglino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bookmarkStart w:id="2" w:name="_GoBack"/>
            <w:bookmarkEnd w:id="2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Maudonnet</w:t>
            </w:r>
            <w:proofErr w:type="spellEnd"/>
            <w:r>
              <w:rPr>
                <w:rFonts w:ascii="Arial" w:hAnsi="Arial" w:cs="Arial"/>
              </w:rPr>
              <w:t xml:space="preserve"> Bernard – D</w:t>
            </w:r>
            <w:r w:rsidR="00FA315E">
              <w:rPr>
                <w:rFonts w:ascii="Arial" w:hAnsi="Arial" w:cs="Arial"/>
              </w:rPr>
              <w:t>agorne</w:t>
            </w:r>
            <w:r>
              <w:rPr>
                <w:rFonts w:ascii="Arial" w:hAnsi="Arial" w:cs="Arial"/>
              </w:rPr>
              <w:t xml:space="preserve"> Thibault</w:t>
            </w:r>
          </w:p>
          <w:p w:rsidR="006C3A5F" w:rsidRDefault="00444D5E">
            <w:pPr>
              <w:spacing w:after="0" w:line="240" w:lineRule="auto"/>
              <w:jc w:val="center"/>
            </w:pPr>
            <w:r>
              <w:rPr>
                <w:rFonts w:ascii="Wingdings" w:hAnsi="Wingdings"/>
                <w:bCs/>
                <w:sz w:val="20"/>
                <w:szCs w:val="20"/>
              </w:rPr>
              <w:t>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Bénévoles                    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</w:t>
            </w:r>
            <w:r>
              <w:rPr>
                <w:rFonts w:asciiTheme="minorHAnsi" w:hAnsiTheme="minorHAnsi"/>
                <w:sz w:val="20"/>
                <w:szCs w:val="20"/>
              </w:rPr>
              <w:t>Rémunéré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</w:pPr>
            <w:proofErr w:type="spellStart"/>
            <w:r>
              <w:rPr>
                <w:rFonts w:asciiTheme="minorHAnsi" w:hAnsiTheme="minorHAnsi"/>
                <w:i/>
              </w:rPr>
              <w:t>Signature</w:t>
            </w:r>
            <w:r w:rsidR="009D0748">
              <w:rPr>
                <w:rFonts w:asciiTheme="minorHAnsi" w:hAnsiTheme="minorHAnsi"/>
                <w:i/>
              </w:rPr>
              <w:t>-</w:t>
            </w:r>
            <w:r>
              <w:rPr>
                <w:rFonts w:asciiTheme="minorHAnsi" w:hAnsiTheme="minorHAnsi"/>
                <w:i/>
              </w:rPr>
              <w:t>s</w:t>
            </w:r>
            <w:proofErr w:type="spellEnd"/>
          </w:p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i/>
              </w:rPr>
              <w:t>Intervenant</w:t>
            </w:r>
            <w:r w:rsidR="009D0748">
              <w:rPr>
                <w:rFonts w:asciiTheme="minorHAnsi" w:hAnsiTheme="minorHAnsi"/>
                <w:i/>
              </w:rPr>
              <w:t>-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s</w:t>
            </w:r>
          </w:p>
        </w:tc>
      </w:tr>
      <w:tr w:rsidR="006C3A5F">
        <w:trPr>
          <w:trHeight w:val="1045"/>
          <w:jc w:val="center"/>
        </w:trPr>
        <w:tc>
          <w:tcPr>
            <w:tcW w:w="5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Intervenant</w:t>
            </w:r>
            <w:r w:rsidR="009D0748">
              <w:rPr>
                <w:rFonts w:asciiTheme="minorHAnsi" w:hAnsiTheme="minorHAnsi"/>
                <w:b/>
                <w:sz w:val="20"/>
                <w:szCs w:val="20"/>
              </w:rPr>
              <w:t xml:space="preserve"> agréé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(NOM Prénom)</w:t>
            </w:r>
          </w:p>
          <w:p w:rsidR="006C3A5F" w:rsidRDefault="009D0748" w:rsidP="009D0748">
            <w:pPr>
              <w:spacing w:after="0" w:line="240" w:lineRule="auto"/>
              <w:ind w:firstLine="125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</w:t>
            </w:r>
            <w:r w:rsidR="002176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4D5E">
              <w:rPr>
                <w:rFonts w:asciiTheme="minorHAnsi" w:hAnsiTheme="minorHAnsi"/>
                <w:sz w:val="20"/>
                <w:szCs w:val="20"/>
              </w:rPr>
              <w:t xml:space="preserve">Bénévole                    </w:t>
            </w:r>
            <w:r w:rsidR="00444D5E">
              <w:rPr>
                <w:rFonts w:ascii="Wingdings" w:hAnsi="Wingdings"/>
                <w:sz w:val="20"/>
                <w:szCs w:val="20"/>
              </w:rPr>
              <w:t></w:t>
            </w:r>
            <w:r w:rsidR="00444D5E">
              <w:rPr>
                <w:rFonts w:asciiTheme="minorHAnsi" w:hAnsiTheme="minorHAnsi"/>
                <w:sz w:val="20"/>
                <w:szCs w:val="20"/>
              </w:rPr>
              <w:t>Rémunéré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Signature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Intervenant</w:t>
            </w:r>
          </w:p>
        </w:tc>
      </w:tr>
    </w:tbl>
    <w:p w:rsidR="006C3A5F" w:rsidRDefault="006C3A5F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4A2E42" w:rsidRDefault="004A2E42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6C3A5F" w:rsidRDefault="00444D5E">
      <w:pPr>
        <w:spacing w:after="120" w:line="240" w:lineRule="auto"/>
        <w:ind w:right="-166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NB : Ce formulaire peut être utilement complété par tout document précisant les modalités d’organisation</w:t>
      </w:r>
    </w:p>
    <w:p w:rsidR="004A2E42" w:rsidRPr="004A2E42" w:rsidRDefault="004A2E42">
      <w:pPr>
        <w:spacing w:after="120" w:line="240" w:lineRule="auto"/>
        <w:ind w:right="-166"/>
        <w:jc w:val="center"/>
        <w:rPr>
          <w:rFonts w:asciiTheme="minorHAnsi" w:hAnsiTheme="minorHAnsi"/>
          <w:b/>
          <w:i/>
          <w:sz w:val="8"/>
          <w:szCs w:val="8"/>
        </w:rPr>
      </w:pPr>
    </w:p>
    <w:tbl>
      <w:tblPr>
        <w:tblW w:w="109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12"/>
        <w:gridCol w:w="5303"/>
      </w:tblGrid>
      <w:tr w:rsidR="006C3A5F">
        <w:trPr>
          <w:trHeight w:val="3824"/>
          <w:jc w:val="center"/>
        </w:trPr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Directeur/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trice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 : autorisation d’intervention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C3A5F" w:rsidRDefault="00444D5E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 soussigné(e)</w:t>
            </w:r>
            <w:r>
              <w:rPr>
                <w:rFonts w:asciiTheme="minorHAnsi" w:hAnsiTheme="minorHAnsi"/>
                <w:b/>
              </w:rPr>
              <w:tab/>
              <w:t>,</w:t>
            </w:r>
          </w:p>
          <w:p w:rsidR="006C3A5F" w:rsidRDefault="00444D5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directeur/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trice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l’école mentionnée ci-dessus,</w:t>
            </w:r>
          </w:p>
          <w:p w:rsidR="006C3A5F" w:rsidRDefault="00444D5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autorise la(les) personne(s) désignée(s) ci-dessus à participer aux activités du projet d’intervention,</w:t>
            </w:r>
          </w:p>
          <w:p w:rsidR="006C3A5F" w:rsidRDefault="006C3A5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C3A5F" w:rsidRDefault="00444D5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Sous réserve :</w:t>
            </w:r>
          </w:p>
          <w:p w:rsidR="006C3A5F" w:rsidRDefault="00444D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l’avis favorable de l’IEN</w:t>
            </w:r>
          </w:p>
          <w:p w:rsidR="006C3A5F" w:rsidRDefault="00444D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l’agrément de l’intervenant</w:t>
            </w:r>
          </w:p>
          <w:p w:rsidR="006C3A5F" w:rsidRDefault="00444D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d’une convention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pour les intervenants rémunérés</w:t>
            </w:r>
          </w:p>
          <w:p w:rsidR="006C3A5F" w:rsidRDefault="006C3A5F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 : …..…/…..…/…..…Signature et cachet de l’école :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Avis de l’IEN sur le projet pédagogique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Observations éventuelles :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Wingdings" w:hAnsi="Wingdings"/>
                <w:b/>
                <w:bCs/>
                <w:sz w:val="24"/>
                <w:szCs w:val="24"/>
              </w:rPr>
              <w:t>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Favorable </w:t>
            </w:r>
            <w:r>
              <w:rPr>
                <w:rFonts w:ascii="Wingdings" w:hAnsi="Wingdings"/>
                <w:b/>
                <w:bCs/>
                <w:sz w:val="24"/>
                <w:szCs w:val="24"/>
              </w:rPr>
              <w:t>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Défavorable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 : …..…/…..…/…..…Signature et cachet :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6C3A5F" w:rsidRDefault="006C3A5F">
      <w:pPr>
        <w:spacing w:after="0"/>
      </w:pPr>
    </w:p>
    <w:sectPr w:rsidR="006C3A5F">
      <w:footerReference w:type="default" r:id="rId9"/>
      <w:pgSz w:w="11906" w:h="16838"/>
      <w:pgMar w:top="232" w:right="720" w:bottom="142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83" w:rsidRDefault="00093183">
      <w:pPr>
        <w:spacing w:after="0" w:line="240" w:lineRule="auto"/>
      </w:pPr>
      <w:r>
        <w:separator/>
      </w:r>
    </w:p>
  </w:endnote>
  <w:endnote w:type="continuationSeparator" w:id="0">
    <w:p w:rsidR="00093183" w:rsidRDefault="0009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5F" w:rsidRDefault="00444D5E">
    <w:pPr>
      <w:pStyle w:val="Pieddepage"/>
      <w:jc w:val="center"/>
    </w:pPr>
    <w:r>
      <w:tab/>
    </w:r>
  </w:p>
  <w:p w:rsidR="006C3A5F" w:rsidRDefault="006C3A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83" w:rsidRDefault="00093183">
      <w:pPr>
        <w:spacing w:after="0" w:line="240" w:lineRule="auto"/>
      </w:pPr>
      <w:r>
        <w:separator/>
      </w:r>
    </w:p>
  </w:footnote>
  <w:footnote w:type="continuationSeparator" w:id="0">
    <w:p w:rsidR="00093183" w:rsidRDefault="0009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6AB"/>
    <w:multiLevelType w:val="hybridMultilevel"/>
    <w:tmpl w:val="EB2EF5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A0541"/>
    <w:multiLevelType w:val="multilevel"/>
    <w:tmpl w:val="64022D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EA7B3D"/>
    <w:multiLevelType w:val="multilevel"/>
    <w:tmpl w:val="2D7C5BC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CC5FF8"/>
    <w:multiLevelType w:val="multilevel"/>
    <w:tmpl w:val="E04C5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BB62FB"/>
    <w:multiLevelType w:val="multilevel"/>
    <w:tmpl w:val="FC32A5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3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5F"/>
    <w:rsid w:val="00093183"/>
    <w:rsid w:val="000E636A"/>
    <w:rsid w:val="001768C4"/>
    <w:rsid w:val="00200920"/>
    <w:rsid w:val="00217677"/>
    <w:rsid w:val="002A1E58"/>
    <w:rsid w:val="00362FBD"/>
    <w:rsid w:val="00444D5E"/>
    <w:rsid w:val="004972AB"/>
    <w:rsid w:val="004A2E42"/>
    <w:rsid w:val="004C343F"/>
    <w:rsid w:val="004E1B57"/>
    <w:rsid w:val="00540685"/>
    <w:rsid w:val="0055698F"/>
    <w:rsid w:val="00576C32"/>
    <w:rsid w:val="00604CB4"/>
    <w:rsid w:val="006279F8"/>
    <w:rsid w:val="006362D4"/>
    <w:rsid w:val="006A079F"/>
    <w:rsid w:val="006C3A5F"/>
    <w:rsid w:val="006F7B1F"/>
    <w:rsid w:val="00897C8E"/>
    <w:rsid w:val="00903963"/>
    <w:rsid w:val="009055D6"/>
    <w:rsid w:val="009B2854"/>
    <w:rsid w:val="009B4576"/>
    <w:rsid w:val="009D0748"/>
    <w:rsid w:val="009D2862"/>
    <w:rsid w:val="00CC454F"/>
    <w:rsid w:val="00CE108C"/>
    <w:rsid w:val="00D94218"/>
    <w:rsid w:val="00E24553"/>
    <w:rsid w:val="00EB44D5"/>
    <w:rsid w:val="00F43F8C"/>
    <w:rsid w:val="00F46340"/>
    <w:rsid w:val="00F71FC0"/>
    <w:rsid w:val="00FA315E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A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character" w:customStyle="1" w:styleId="En-tteCar">
    <w:name w:val="En-tête Car"/>
    <w:semiHidden/>
    <w:locked/>
    <w:rsid w:val="002F70C4"/>
    <w:rPr>
      <w:rFonts w:cs="Times New Roman"/>
    </w:r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AF08BC"/>
    <w:pPr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paragraph" w:styleId="En-tte">
    <w:name w:val="header"/>
    <w:basedOn w:val="Normal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  <w:style w:type="table" w:styleId="Grilledutableau">
    <w:name w:val="Table Grid"/>
    <w:basedOn w:val="TableauNormal"/>
    <w:rsid w:val="00367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A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character" w:customStyle="1" w:styleId="En-tteCar">
    <w:name w:val="En-tête Car"/>
    <w:semiHidden/>
    <w:locked/>
    <w:rsid w:val="002F70C4"/>
    <w:rPr>
      <w:rFonts w:cs="Times New Roman"/>
    </w:r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AF08BC"/>
    <w:pPr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paragraph" w:styleId="En-tte">
    <w:name w:val="header"/>
    <w:basedOn w:val="Normal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  <w:style w:type="table" w:styleId="Grilledutableau">
    <w:name w:val="Table Grid"/>
    <w:basedOn w:val="TableauNormal"/>
    <w:rsid w:val="00367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1360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dsden71</cp:lastModifiedBy>
  <cp:revision>7</cp:revision>
  <cp:lastPrinted>2019-06-27T09:52:00Z</cp:lastPrinted>
  <dcterms:created xsi:type="dcterms:W3CDTF">2019-06-27T10:06:00Z</dcterms:created>
  <dcterms:modified xsi:type="dcterms:W3CDTF">2019-06-28T10:49:00Z</dcterms:modified>
  <dc:language>fr-FR</dc:language>
</cp:coreProperties>
</file>