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72" w:rsidRDefault="004A1572" w:rsidP="004A1572"/>
    <w:p w:rsidR="004A1572" w:rsidRDefault="00F40841" w:rsidP="004A1572">
      <w:r>
        <w:rPr>
          <w:noProof/>
        </w:rPr>
        <w:drawing>
          <wp:anchor distT="0" distB="0" distL="114300" distR="114300" simplePos="0" relativeHeight="251658240" behindDoc="0" locked="0" layoutInCell="1" allowOverlap="1" wp14:anchorId="335DC37B" wp14:editId="2F212020">
            <wp:simplePos x="0" y="0"/>
            <wp:positionH relativeFrom="margin">
              <wp:align>right</wp:align>
            </wp:positionH>
            <wp:positionV relativeFrom="paragraph">
              <wp:posOffset>434340</wp:posOffset>
            </wp:positionV>
            <wp:extent cx="2042795" cy="1915795"/>
            <wp:effectExtent l="0" t="0" r="0" b="8255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572" w:rsidRPr="00C26BA2">
        <w:rPr>
          <w:noProof/>
        </w:rPr>
        <w:drawing>
          <wp:inline distT="0" distB="0" distL="0" distR="0" wp14:anchorId="60256BB0" wp14:editId="16A116FB">
            <wp:extent cx="2146180" cy="2579298"/>
            <wp:effectExtent l="19050" t="0" r="647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14" cy="25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841">
        <w:rPr>
          <w:noProof/>
        </w:rPr>
        <w:t xml:space="preserve"> </w:t>
      </w:r>
    </w:p>
    <w:p w:rsidR="004A1572" w:rsidRDefault="004A1572" w:rsidP="004A1572"/>
    <w:p w:rsidR="004A1572" w:rsidRDefault="004A1572" w:rsidP="004A1572"/>
    <w:p w:rsidR="004A1572" w:rsidRPr="001A7100" w:rsidRDefault="004A1572" w:rsidP="004A1572">
      <w:pPr>
        <w:rPr>
          <w:rFonts w:ascii="Arial" w:hAnsi="Arial" w:cs="Arial"/>
          <w:sz w:val="20"/>
          <w:szCs w:val="20"/>
        </w:rPr>
      </w:pPr>
    </w:p>
    <w:p w:rsidR="004A1572" w:rsidRPr="001A7100" w:rsidRDefault="004A1572" w:rsidP="004A1572">
      <w:pPr>
        <w:rPr>
          <w:rFonts w:ascii="Arial" w:hAnsi="Arial" w:cs="Arial"/>
          <w:sz w:val="20"/>
          <w:szCs w:val="20"/>
        </w:rPr>
      </w:pPr>
    </w:p>
    <w:p w:rsidR="004A1572" w:rsidRPr="001A7100" w:rsidRDefault="004A1572" w:rsidP="004A1572">
      <w:pPr>
        <w:rPr>
          <w:rFonts w:ascii="Arial" w:hAnsi="Arial" w:cs="Arial"/>
          <w:sz w:val="32"/>
          <w:szCs w:val="32"/>
        </w:rPr>
      </w:pPr>
    </w:p>
    <w:p w:rsidR="004A1572" w:rsidRDefault="004A1572" w:rsidP="004A1572">
      <w:pPr>
        <w:rPr>
          <w:rFonts w:ascii="Arial" w:hAnsi="Arial" w:cs="Arial"/>
          <w:b/>
          <w:sz w:val="32"/>
          <w:szCs w:val="32"/>
        </w:rPr>
      </w:pPr>
      <w:r w:rsidRPr="001A7100">
        <w:rPr>
          <w:rFonts w:ascii="Arial" w:hAnsi="Arial" w:cs="Arial"/>
          <w:b/>
          <w:sz w:val="32"/>
          <w:szCs w:val="32"/>
        </w:rPr>
        <w:t xml:space="preserve">Guide de </w:t>
      </w:r>
      <w:r>
        <w:rPr>
          <w:rFonts w:ascii="Arial" w:hAnsi="Arial" w:cs="Arial"/>
          <w:b/>
          <w:sz w:val="32"/>
          <w:szCs w:val="32"/>
        </w:rPr>
        <w:t>réflexion</w:t>
      </w:r>
      <w:r w:rsidR="000B201F">
        <w:rPr>
          <w:rFonts w:ascii="Arial" w:hAnsi="Arial" w:cs="Arial"/>
          <w:b/>
          <w:sz w:val="32"/>
          <w:szCs w:val="32"/>
        </w:rPr>
        <w:t xml:space="preserve"> pour l’élaboration du Projet d’Ecole et </w:t>
      </w:r>
      <w:r w:rsidR="00AC7E2E">
        <w:rPr>
          <w:rFonts w:ascii="Arial" w:hAnsi="Arial" w:cs="Arial"/>
          <w:b/>
          <w:sz w:val="32"/>
          <w:szCs w:val="32"/>
        </w:rPr>
        <w:t xml:space="preserve">pour </w:t>
      </w:r>
      <w:r>
        <w:rPr>
          <w:rFonts w:ascii="Arial" w:hAnsi="Arial" w:cs="Arial"/>
          <w:b/>
          <w:sz w:val="32"/>
          <w:szCs w:val="32"/>
        </w:rPr>
        <w:t>l’</w:t>
      </w:r>
      <w:r w:rsidRPr="001A7100">
        <w:rPr>
          <w:rFonts w:ascii="Arial" w:hAnsi="Arial" w:cs="Arial"/>
          <w:b/>
          <w:sz w:val="32"/>
          <w:szCs w:val="32"/>
        </w:rPr>
        <w:t>auto-évaluation</w:t>
      </w:r>
      <w:r w:rsidR="000B201F">
        <w:rPr>
          <w:rFonts w:ascii="Arial" w:hAnsi="Arial" w:cs="Arial"/>
          <w:b/>
          <w:sz w:val="32"/>
          <w:szCs w:val="32"/>
        </w:rPr>
        <w:t xml:space="preserve"> des écoles</w:t>
      </w:r>
      <w:r w:rsidR="00AC7E2E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à destination du groupe de travail</w:t>
      </w:r>
    </w:p>
    <w:p w:rsidR="004A1572" w:rsidRDefault="004A1572" w:rsidP="004A1572">
      <w:pPr>
        <w:rPr>
          <w:rFonts w:ascii="Arial" w:hAnsi="Arial" w:cs="Arial"/>
          <w:b/>
          <w:sz w:val="32"/>
          <w:szCs w:val="32"/>
        </w:rPr>
      </w:pPr>
    </w:p>
    <w:p w:rsidR="004A1572" w:rsidRPr="001A7100" w:rsidRDefault="004A1572" w:rsidP="004A1572">
      <w:pPr>
        <w:rPr>
          <w:rFonts w:ascii="Arial" w:hAnsi="Arial" w:cs="Arial"/>
          <w:b/>
          <w:sz w:val="32"/>
          <w:szCs w:val="32"/>
        </w:rPr>
      </w:pPr>
      <w:r w:rsidRPr="004A1572">
        <w:rPr>
          <w:rFonts w:ascii="Arial" w:hAnsi="Arial" w:cs="Arial"/>
          <w:b/>
          <w:sz w:val="32"/>
          <w:szCs w:val="32"/>
        </w:rPr>
        <w:t>Les apprentissages et les parcours des élèves, l’enseignement</w:t>
      </w:r>
      <w:r w:rsidRPr="001A7100">
        <w:rPr>
          <w:rFonts w:ascii="Arial" w:hAnsi="Arial" w:cs="Arial"/>
          <w:b/>
          <w:sz w:val="32"/>
          <w:szCs w:val="32"/>
        </w:rPr>
        <w:t xml:space="preserve"> </w:t>
      </w:r>
    </w:p>
    <w:p w:rsidR="004A1572" w:rsidRPr="001A7100" w:rsidRDefault="004A1572" w:rsidP="004A1572">
      <w:pPr>
        <w:rPr>
          <w:rFonts w:ascii="Arial" w:hAnsi="Arial" w:cs="Arial"/>
          <w:sz w:val="20"/>
          <w:szCs w:val="20"/>
        </w:rPr>
      </w:pPr>
    </w:p>
    <w:p w:rsidR="00A64B8E" w:rsidRDefault="00A64B8E" w:rsidP="00717167">
      <w:pPr>
        <w:jc w:val="both"/>
        <w:rPr>
          <w:rFonts w:ascii="Arial" w:hAnsi="Arial" w:cs="Arial"/>
          <w:sz w:val="20"/>
          <w:szCs w:val="20"/>
        </w:rPr>
      </w:pPr>
    </w:p>
    <w:p w:rsidR="00A64B8E" w:rsidRDefault="00A64B8E" w:rsidP="00717167">
      <w:pPr>
        <w:jc w:val="both"/>
        <w:rPr>
          <w:rFonts w:ascii="Arial" w:hAnsi="Arial" w:cs="Arial"/>
          <w:sz w:val="20"/>
          <w:szCs w:val="20"/>
        </w:rPr>
      </w:pPr>
    </w:p>
    <w:p w:rsidR="00A64B8E" w:rsidRDefault="00A64B8E" w:rsidP="00717167">
      <w:pPr>
        <w:jc w:val="both"/>
        <w:rPr>
          <w:rFonts w:ascii="Arial" w:hAnsi="Arial" w:cs="Arial"/>
          <w:sz w:val="20"/>
          <w:szCs w:val="20"/>
        </w:rPr>
      </w:pPr>
    </w:p>
    <w:p w:rsidR="004A1572" w:rsidRDefault="00EE7861" w:rsidP="00A64B8E">
      <w:pPr>
        <w:jc w:val="both"/>
        <w:rPr>
          <w:rFonts w:ascii="Arial" w:hAnsi="Arial" w:cs="Arial"/>
          <w:i/>
          <w:sz w:val="16"/>
          <w:szCs w:val="16"/>
        </w:rPr>
      </w:pPr>
      <w:r w:rsidRPr="00133972">
        <w:rPr>
          <w:rFonts w:ascii="Arial" w:hAnsi="Arial" w:cs="Arial"/>
          <w:i/>
          <w:sz w:val="16"/>
          <w:szCs w:val="16"/>
        </w:rPr>
        <w:t xml:space="preserve">Ce document est proposé pour accompagner la réflexion des </w:t>
      </w:r>
      <w:r w:rsidR="00717167" w:rsidRPr="00133972">
        <w:rPr>
          <w:rFonts w:ascii="Arial" w:hAnsi="Arial" w:cs="Arial"/>
          <w:i/>
          <w:sz w:val="16"/>
          <w:szCs w:val="16"/>
        </w:rPr>
        <w:t>personnes</w:t>
      </w:r>
      <w:r w:rsidRPr="00133972">
        <w:rPr>
          <w:rFonts w:ascii="Arial" w:hAnsi="Arial" w:cs="Arial"/>
          <w:i/>
          <w:sz w:val="16"/>
          <w:szCs w:val="16"/>
        </w:rPr>
        <w:t xml:space="preserve"> qui se sont mobilisées sur ce domaine d’analyse. Si l’ensemble des gran</w:t>
      </w:r>
      <w:r w:rsidR="00717167" w:rsidRPr="00133972">
        <w:rPr>
          <w:rFonts w:ascii="Arial" w:hAnsi="Arial" w:cs="Arial"/>
          <w:i/>
          <w:sz w:val="16"/>
          <w:szCs w:val="16"/>
        </w:rPr>
        <w:t>des thématiques est à explorer, Les champs à interroger sont donnés à titre d’exemple et ne sont pas forcément à examiner de manière exhaustive.</w:t>
      </w:r>
      <w:r w:rsidR="00DE25FF">
        <w:rPr>
          <w:rFonts w:ascii="Arial" w:hAnsi="Arial" w:cs="Arial"/>
          <w:i/>
          <w:sz w:val="16"/>
          <w:szCs w:val="16"/>
        </w:rPr>
        <w:t xml:space="preserve"> Toutes les questions évaluatives ne s’appliquent pas forcément à la situation particulière de l’école ou ne nécessitent pas de réponse.</w:t>
      </w:r>
    </w:p>
    <w:p w:rsidR="00133972" w:rsidRPr="00133972" w:rsidRDefault="00133972" w:rsidP="00A64B8E">
      <w:pPr>
        <w:jc w:val="both"/>
        <w:rPr>
          <w:rFonts w:ascii="Arial" w:hAnsi="Arial" w:cs="Arial"/>
          <w:i/>
          <w:sz w:val="16"/>
          <w:szCs w:val="16"/>
        </w:rPr>
      </w:pPr>
    </w:p>
    <w:p w:rsidR="004A1572" w:rsidRDefault="004A1572">
      <w:r w:rsidRPr="001A7100">
        <w:rPr>
          <w:rFonts w:ascii="Arial" w:hAnsi="Arial" w:cs="Arial"/>
          <w:u w:val="single"/>
        </w:rPr>
        <w:t>Source</w:t>
      </w:r>
      <w:r w:rsidRPr="001A7100">
        <w:rPr>
          <w:rFonts w:ascii="Arial" w:hAnsi="Arial" w:cs="Arial"/>
        </w:rPr>
        <w:t xml:space="preserve"> : Conseil d’Evaluation de l’Ecole </w:t>
      </w:r>
      <w:r w:rsidRPr="001A7100">
        <w:rPr>
          <w:rFonts w:ascii="Arial" w:hAnsi="Arial" w:cs="Arial"/>
        </w:rPr>
        <w:br w:type="page"/>
      </w:r>
    </w:p>
    <w:p w:rsidR="008D037A" w:rsidRPr="004A1572" w:rsidRDefault="008D037A" w:rsidP="00F17A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1572">
        <w:rPr>
          <w:rFonts w:ascii="Arial" w:hAnsi="Arial" w:cs="Arial"/>
          <w:b/>
          <w:sz w:val="24"/>
          <w:szCs w:val="24"/>
        </w:rPr>
        <w:lastRenderedPageBreak/>
        <w:t>GT1 - Les apprentissages et les parcours des élèves, l’enseignement</w:t>
      </w:r>
      <w:r w:rsidR="00F52908">
        <w:rPr>
          <w:rFonts w:ascii="Arial" w:hAnsi="Arial" w:cs="Arial"/>
          <w:b/>
          <w:sz w:val="24"/>
          <w:szCs w:val="24"/>
        </w:rPr>
        <w:t xml:space="preserve"> 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572">
        <w:rPr>
          <w:rFonts w:ascii="Arial" w:hAnsi="Arial" w:cs="Arial"/>
          <w:b/>
          <w:sz w:val="20"/>
          <w:szCs w:val="20"/>
          <w:u w:val="single"/>
        </w:rPr>
        <w:t xml:space="preserve">Questionnement </w:t>
      </w:r>
      <w:r w:rsidR="00086E02">
        <w:rPr>
          <w:rFonts w:ascii="Arial" w:hAnsi="Arial" w:cs="Arial"/>
          <w:b/>
          <w:sz w:val="20"/>
          <w:szCs w:val="20"/>
          <w:u w:val="single"/>
        </w:rPr>
        <w:t>possible</w:t>
      </w:r>
      <w:r w:rsidR="005D67A0">
        <w:rPr>
          <w:rFonts w:ascii="Arial" w:hAnsi="Arial" w:cs="Arial"/>
          <w:b/>
          <w:sz w:val="20"/>
          <w:szCs w:val="20"/>
          <w:u w:val="single"/>
        </w:rPr>
        <w:t> :</w:t>
      </w:r>
      <w:r w:rsidR="003F422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7A0" w:rsidRPr="005D67A0" w:rsidRDefault="005D67A0" w:rsidP="005D67A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Qu'observons-nous ? Analyse descriptive de ce qui a pu être réalisé et des résultats obtenus.</w:t>
      </w:r>
    </w:p>
    <w:p w:rsidR="005D67A0" w:rsidRPr="005D67A0" w:rsidRDefault="005D67A0" w:rsidP="005D67A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Comment avons-nous fait pour en arriver là ? les choix stratégiques et leurs impacts:</w:t>
      </w:r>
    </w:p>
    <w:p w:rsidR="005D67A0" w:rsidRPr="005D67A0" w:rsidRDefault="005D67A0" w:rsidP="005D67A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Que considérons-nous avoir bien réussi ? Pourquoi considérons-nous avoir réussi ? Qu'est-ce qui a permis cette réussite ? Que considérons-nous comme</w:t>
      </w:r>
      <w:r w:rsidR="00F40841">
        <w:rPr>
          <w:rFonts w:ascii="Arial" w:hAnsi="Arial" w:cs="Arial"/>
          <w:sz w:val="20"/>
          <w:szCs w:val="20"/>
        </w:rPr>
        <w:t xml:space="preserve"> des atouts pour l'école</w:t>
      </w:r>
      <w:r w:rsidRPr="005D67A0">
        <w:rPr>
          <w:rFonts w:ascii="Arial" w:hAnsi="Arial" w:cs="Arial"/>
          <w:sz w:val="20"/>
          <w:szCs w:val="20"/>
        </w:rPr>
        <w:t xml:space="preserve"> dans ce domaine ?</w:t>
      </w:r>
    </w:p>
    <w:p w:rsidR="005D67A0" w:rsidRPr="005D67A0" w:rsidRDefault="005D67A0" w:rsidP="005D67A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Que considérons-nous avoir moins bien réussi ? Pourquoi considérons-nous avoir moins</w:t>
      </w:r>
      <w:r w:rsidRPr="005D67A0">
        <w:rPr>
          <w:rFonts w:ascii="Arial" w:hAnsi="Arial" w:cs="Arial"/>
          <w:sz w:val="20"/>
          <w:szCs w:val="20"/>
        </w:rPr>
        <w:br/>
        <w:t>réussi ? Qu'est-ce qui nous a manqué ? Que considérons-nous comme des points de vigilance, des actions p</w:t>
      </w:r>
      <w:r w:rsidR="00F40841">
        <w:rPr>
          <w:rFonts w:ascii="Arial" w:hAnsi="Arial" w:cs="Arial"/>
          <w:sz w:val="20"/>
          <w:szCs w:val="20"/>
        </w:rPr>
        <w:t>erfectibles pour l'école</w:t>
      </w:r>
      <w:r w:rsidRPr="005D67A0">
        <w:rPr>
          <w:rFonts w:ascii="Arial" w:hAnsi="Arial" w:cs="Arial"/>
          <w:sz w:val="20"/>
          <w:szCs w:val="20"/>
        </w:rPr>
        <w:t xml:space="preserve"> dans ce domaine ?</w:t>
      </w:r>
    </w:p>
    <w:p w:rsidR="005D67A0" w:rsidRPr="005D67A0" w:rsidRDefault="005D67A0" w:rsidP="005D67A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Quelles perspectives ? Définition d'hypothèses explicatives, repérage des difficultés rencontrées, détermination d'axes de progrès et pistes d'actions.</w:t>
      </w: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37A" w:rsidRPr="004A1572" w:rsidRDefault="008D037A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572">
        <w:rPr>
          <w:rFonts w:ascii="Arial" w:hAnsi="Arial" w:cs="Arial"/>
          <w:b/>
          <w:sz w:val="20"/>
          <w:szCs w:val="20"/>
          <w:u w:val="single"/>
        </w:rPr>
        <w:t xml:space="preserve">Eléments à </w:t>
      </w:r>
      <w:r w:rsidR="00143139" w:rsidRPr="004A1572">
        <w:rPr>
          <w:rFonts w:ascii="Arial" w:hAnsi="Arial" w:cs="Arial"/>
          <w:b/>
          <w:sz w:val="20"/>
          <w:szCs w:val="20"/>
          <w:u w:val="single"/>
        </w:rPr>
        <w:t>analyser</w:t>
      </w:r>
      <w:r w:rsidR="005D67A0">
        <w:rPr>
          <w:rFonts w:ascii="Arial" w:hAnsi="Arial" w:cs="Arial"/>
          <w:b/>
          <w:sz w:val="20"/>
          <w:szCs w:val="20"/>
          <w:u w:val="single"/>
        </w:rPr>
        <w:t> :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37A" w:rsidRPr="004A1572" w:rsidRDefault="008D037A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1572">
        <w:rPr>
          <w:rFonts w:ascii="Arial" w:hAnsi="Arial" w:cs="Arial"/>
          <w:b/>
          <w:sz w:val="20"/>
          <w:szCs w:val="20"/>
        </w:rPr>
        <w:t>Acquis scolaires, résultats, poursuite d’étude des élèves et équité.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0841" w:rsidRPr="00F40841" w:rsidRDefault="00F40841" w:rsidP="00F4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40841">
        <w:rPr>
          <w:rFonts w:ascii="Arial" w:hAnsi="Arial" w:cs="Arial"/>
          <w:sz w:val="20"/>
          <w:szCs w:val="20"/>
        </w:rPr>
        <w:t>On s’intére</w:t>
      </w:r>
      <w:r>
        <w:rPr>
          <w:rFonts w:ascii="Arial" w:hAnsi="Arial" w:cs="Arial"/>
          <w:sz w:val="20"/>
          <w:szCs w:val="20"/>
        </w:rPr>
        <w:t xml:space="preserve">sse ici au suivi des acquis des </w:t>
      </w:r>
      <w:r w:rsidRPr="00F40841">
        <w:rPr>
          <w:rFonts w:ascii="Arial" w:hAnsi="Arial" w:cs="Arial"/>
          <w:sz w:val="20"/>
          <w:szCs w:val="20"/>
        </w:rPr>
        <w:t>élèves au cours de leur scolarité dans l’école, à leurs rés</w:t>
      </w:r>
      <w:r>
        <w:rPr>
          <w:rFonts w:ascii="Arial" w:hAnsi="Arial" w:cs="Arial"/>
          <w:sz w:val="20"/>
          <w:szCs w:val="20"/>
        </w:rPr>
        <w:t xml:space="preserve">ultats aux évaluations, à leurs </w:t>
      </w:r>
      <w:r w:rsidRPr="00F40841">
        <w:rPr>
          <w:rFonts w:ascii="Arial" w:hAnsi="Arial" w:cs="Arial"/>
          <w:sz w:val="20"/>
          <w:szCs w:val="20"/>
        </w:rPr>
        <w:t>acquis en fin de scolarité dans l’école (socle commun, p</w:t>
      </w:r>
      <w:r>
        <w:rPr>
          <w:rFonts w:ascii="Arial" w:hAnsi="Arial" w:cs="Arial"/>
          <w:sz w:val="20"/>
          <w:szCs w:val="20"/>
        </w:rPr>
        <w:t xml:space="preserve">ar exemple) et à la réussite de </w:t>
      </w:r>
      <w:r w:rsidRPr="00F40841">
        <w:rPr>
          <w:rFonts w:ascii="Arial" w:hAnsi="Arial" w:cs="Arial"/>
          <w:sz w:val="20"/>
          <w:szCs w:val="20"/>
        </w:rPr>
        <w:t>leurs parcours ultérieurs au collège. Une attention par</w:t>
      </w:r>
      <w:r>
        <w:rPr>
          <w:rFonts w:ascii="Arial" w:hAnsi="Arial" w:cs="Arial"/>
          <w:sz w:val="20"/>
          <w:szCs w:val="20"/>
        </w:rPr>
        <w:t xml:space="preserve">ticulière est portée à l’équité </w:t>
      </w:r>
      <w:r w:rsidRPr="00F40841">
        <w:rPr>
          <w:rFonts w:ascii="Arial" w:hAnsi="Arial" w:cs="Arial"/>
          <w:sz w:val="20"/>
          <w:szCs w:val="20"/>
        </w:rPr>
        <w:t>scolaire, qu’elle soit liée au genre, à l’origine sociale ou t</w:t>
      </w:r>
      <w:r>
        <w:rPr>
          <w:rFonts w:ascii="Arial" w:hAnsi="Arial" w:cs="Arial"/>
          <w:sz w:val="20"/>
          <w:szCs w:val="20"/>
        </w:rPr>
        <w:t xml:space="preserve">erritoriale ou aux spécificités </w:t>
      </w:r>
      <w:r w:rsidRPr="00F40841">
        <w:rPr>
          <w:rFonts w:ascii="Arial" w:hAnsi="Arial" w:cs="Arial"/>
          <w:sz w:val="20"/>
          <w:szCs w:val="20"/>
        </w:rPr>
        <w:t>des élèves (notamment les élèves à besoins particuliers). A</w:t>
      </w:r>
      <w:r>
        <w:rPr>
          <w:rFonts w:ascii="Arial" w:hAnsi="Arial" w:cs="Arial"/>
          <w:sz w:val="20"/>
          <w:szCs w:val="20"/>
        </w:rPr>
        <w:t xml:space="preserve">u final, cette analyse invite à </w:t>
      </w:r>
      <w:r w:rsidRPr="00F40841">
        <w:rPr>
          <w:rFonts w:ascii="Arial" w:hAnsi="Arial" w:cs="Arial"/>
          <w:sz w:val="20"/>
          <w:szCs w:val="20"/>
        </w:rPr>
        <w:t>voir comment l’ensemble des acteurs de l’école</w:t>
      </w:r>
      <w:r>
        <w:rPr>
          <w:rFonts w:ascii="Arial" w:hAnsi="Arial" w:cs="Arial"/>
          <w:sz w:val="20"/>
          <w:szCs w:val="20"/>
        </w:rPr>
        <w:t xml:space="preserve"> s’approprient ces résultats et </w:t>
      </w:r>
      <w:r w:rsidRPr="00F40841">
        <w:rPr>
          <w:rFonts w:ascii="Arial" w:hAnsi="Arial" w:cs="Arial"/>
          <w:sz w:val="20"/>
          <w:szCs w:val="20"/>
        </w:rPr>
        <w:t>l’incidence des choix opérés en conséquence (organisa</w:t>
      </w:r>
      <w:r>
        <w:rPr>
          <w:rFonts w:ascii="Arial" w:hAnsi="Arial" w:cs="Arial"/>
          <w:sz w:val="20"/>
          <w:szCs w:val="20"/>
        </w:rPr>
        <w:t xml:space="preserve">tion, pratiques d’enseignement, </w:t>
      </w:r>
      <w:r w:rsidRPr="00F40841">
        <w:rPr>
          <w:rFonts w:ascii="Arial" w:hAnsi="Arial" w:cs="Arial"/>
          <w:sz w:val="20"/>
          <w:szCs w:val="20"/>
        </w:rPr>
        <w:t>etc.).</w:t>
      </w:r>
    </w:p>
    <w:p w:rsidR="00F40841" w:rsidRPr="00F40841" w:rsidRDefault="00F40841" w:rsidP="00F4084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F40841">
        <w:rPr>
          <w:rFonts w:ascii="Arial" w:hAnsi="Arial" w:cs="Arial"/>
          <w:iCs/>
          <w:sz w:val="20"/>
          <w:szCs w:val="20"/>
        </w:rPr>
        <w:t>Caractéristiques des élèves qui entrent dans l'école (profils, résultats, priorités de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40841">
        <w:rPr>
          <w:rFonts w:ascii="Arial" w:hAnsi="Arial" w:cs="Arial"/>
          <w:iCs/>
          <w:sz w:val="20"/>
          <w:szCs w:val="20"/>
        </w:rPr>
        <w:t>formation)</w:t>
      </w:r>
    </w:p>
    <w:p w:rsidR="00F40841" w:rsidRPr="00F40841" w:rsidRDefault="00F40841" w:rsidP="00F4084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F40841">
        <w:rPr>
          <w:rFonts w:ascii="Arial" w:hAnsi="Arial" w:cs="Arial"/>
          <w:iCs/>
          <w:sz w:val="20"/>
          <w:szCs w:val="20"/>
        </w:rPr>
        <w:t>Acquis des élèves (par cycle et niveau, niveau de maîtrise du socle, compétences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40841">
        <w:rPr>
          <w:rFonts w:ascii="Arial" w:hAnsi="Arial" w:cs="Arial"/>
          <w:iCs/>
          <w:sz w:val="20"/>
          <w:szCs w:val="20"/>
        </w:rPr>
        <w:t>sociales, parcours éducatifs et attestations en milieu scolaire)</w:t>
      </w:r>
    </w:p>
    <w:p w:rsidR="002613F9" w:rsidRPr="00F40841" w:rsidRDefault="00F40841" w:rsidP="00F408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0841">
        <w:rPr>
          <w:rFonts w:ascii="Arial" w:hAnsi="Arial" w:cs="Arial"/>
          <w:iCs/>
          <w:sz w:val="20"/>
          <w:szCs w:val="20"/>
        </w:rPr>
        <w:t>Équité (en fonction des PCS, de l’IPS, du genre, actions menées)</w:t>
      </w:r>
    </w:p>
    <w:p w:rsidR="00F40841" w:rsidRPr="00F40841" w:rsidRDefault="00F40841" w:rsidP="00F40841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037A" w:rsidRPr="004A1572" w:rsidRDefault="00016753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Organisation scolaire et pédagogique</w:t>
      </w:r>
      <w:r w:rsidR="008D037A" w:rsidRPr="004A1572">
        <w:rPr>
          <w:rFonts w:ascii="Arial" w:hAnsi="Arial" w:cs="Arial"/>
          <w:b/>
          <w:sz w:val="20"/>
          <w:szCs w:val="20"/>
        </w:rPr>
        <w:t>.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753" w:rsidRPr="00016753" w:rsidRDefault="00016753" w:rsidP="0001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6753">
        <w:rPr>
          <w:rFonts w:ascii="Arial" w:hAnsi="Arial" w:cs="Arial"/>
          <w:sz w:val="20"/>
          <w:szCs w:val="20"/>
        </w:rPr>
        <w:t>Au regard des c</w:t>
      </w:r>
      <w:r>
        <w:rPr>
          <w:rFonts w:ascii="Arial" w:hAnsi="Arial" w:cs="Arial"/>
          <w:sz w:val="20"/>
          <w:szCs w:val="20"/>
        </w:rPr>
        <w:t xml:space="preserve">onstats et analyses menées dans </w:t>
      </w:r>
      <w:r w:rsidRPr="00016753">
        <w:rPr>
          <w:rFonts w:ascii="Arial" w:hAnsi="Arial" w:cs="Arial"/>
          <w:sz w:val="20"/>
          <w:szCs w:val="20"/>
        </w:rPr>
        <w:t xml:space="preserve">la partie précédente, on s’intéresse ici aux choix effectués </w:t>
      </w:r>
      <w:r>
        <w:rPr>
          <w:rFonts w:ascii="Arial" w:hAnsi="Arial" w:cs="Arial"/>
          <w:sz w:val="20"/>
          <w:szCs w:val="20"/>
        </w:rPr>
        <w:t xml:space="preserve">par l’école, que ce soit sur le </w:t>
      </w:r>
      <w:r w:rsidRPr="00016753">
        <w:rPr>
          <w:rFonts w:ascii="Arial" w:hAnsi="Arial" w:cs="Arial"/>
          <w:sz w:val="20"/>
          <w:szCs w:val="20"/>
        </w:rPr>
        <w:t>plan stratégique (tels qu’ils figurent dans le projet d’école), organisati</w:t>
      </w:r>
      <w:r>
        <w:rPr>
          <w:rFonts w:ascii="Arial" w:hAnsi="Arial" w:cs="Arial"/>
          <w:sz w:val="20"/>
          <w:szCs w:val="20"/>
        </w:rPr>
        <w:t xml:space="preserve">onnel ou </w:t>
      </w:r>
      <w:r w:rsidRPr="00016753">
        <w:rPr>
          <w:rFonts w:ascii="Arial" w:hAnsi="Arial" w:cs="Arial"/>
          <w:sz w:val="20"/>
          <w:szCs w:val="20"/>
        </w:rPr>
        <w:t>pédagogique. Le questionnement peut s’orienter v</w:t>
      </w:r>
      <w:r>
        <w:rPr>
          <w:rFonts w:ascii="Arial" w:hAnsi="Arial" w:cs="Arial"/>
          <w:sz w:val="20"/>
          <w:szCs w:val="20"/>
        </w:rPr>
        <w:t xml:space="preserve">ers l’utilisation des marges de </w:t>
      </w:r>
      <w:r w:rsidRPr="00016753">
        <w:rPr>
          <w:rFonts w:ascii="Arial" w:hAnsi="Arial" w:cs="Arial"/>
          <w:sz w:val="20"/>
          <w:szCs w:val="20"/>
        </w:rPr>
        <w:t>manœuvre (la constitution des classes, les pratiques coll</w:t>
      </w:r>
      <w:r>
        <w:rPr>
          <w:rFonts w:ascii="Arial" w:hAnsi="Arial" w:cs="Arial"/>
          <w:sz w:val="20"/>
          <w:szCs w:val="20"/>
        </w:rPr>
        <w:t xml:space="preserve">aboratives au sein de l’équipe, </w:t>
      </w:r>
      <w:r w:rsidRPr="00016753">
        <w:rPr>
          <w:rFonts w:ascii="Arial" w:hAnsi="Arial" w:cs="Arial"/>
          <w:sz w:val="20"/>
          <w:szCs w:val="20"/>
        </w:rPr>
        <w:t>la place de l’expérimentation pédagogique, la diversité des stratégies pédago</w:t>
      </w:r>
      <w:r>
        <w:rPr>
          <w:rFonts w:ascii="Arial" w:hAnsi="Arial" w:cs="Arial"/>
          <w:sz w:val="20"/>
          <w:szCs w:val="20"/>
        </w:rPr>
        <w:t xml:space="preserve">giques et </w:t>
      </w:r>
      <w:r w:rsidRPr="00016753">
        <w:rPr>
          <w:rFonts w:ascii="Arial" w:hAnsi="Arial" w:cs="Arial"/>
          <w:sz w:val="20"/>
          <w:szCs w:val="20"/>
        </w:rPr>
        <w:t xml:space="preserve">des modalités d’apprentissage, etc.), l’engagement des </w:t>
      </w:r>
      <w:r>
        <w:rPr>
          <w:rFonts w:ascii="Arial" w:hAnsi="Arial" w:cs="Arial"/>
          <w:sz w:val="20"/>
          <w:szCs w:val="20"/>
        </w:rPr>
        <w:t xml:space="preserve">élèves dans les apprentissages, </w:t>
      </w:r>
      <w:r w:rsidRPr="00016753">
        <w:rPr>
          <w:rFonts w:ascii="Arial" w:hAnsi="Arial" w:cs="Arial"/>
          <w:sz w:val="20"/>
          <w:szCs w:val="20"/>
        </w:rPr>
        <w:t>l’évaluation et l’auto-évaluation des élèves, le souti</w:t>
      </w:r>
      <w:r>
        <w:rPr>
          <w:rFonts w:ascii="Arial" w:hAnsi="Arial" w:cs="Arial"/>
          <w:sz w:val="20"/>
          <w:szCs w:val="20"/>
        </w:rPr>
        <w:t xml:space="preserve">en et l’accompagnement dont ils </w:t>
      </w:r>
      <w:r w:rsidRPr="00016753">
        <w:rPr>
          <w:rFonts w:ascii="Arial" w:hAnsi="Arial" w:cs="Arial"/>
          <w:sz w:val="20"/>
          <w:szCs w:val="20"/>
        </w:rPr>
        <w:t>bénéficient dans l’école, et la place du numérique dans ce cadre. La ques</w:t>
      </w:r>
      <w:r>
        <w:rPr>
          <w:rFonts w:ascii="Arial" w:hAnsi="Arial" w:cs="Arial"/>
          <w:sz w:val="20"/>
          <w:szCs w:val="20"/>
        </w:rPr>
        <w:t xml:space="preserve">tion des </w:t>
      </w:r>
      <w:r w:rsidRPr="00016753">
        <w:rPr>
          <w:rFonts w:ascii="Arial" w:hAnsi="Arial" w:cs="Arial"/>
          <w:sz w:val="20"/>
          <w:szCs w:val="20"/>
        </w:rPr>
        <w:t>modalités de repérage et de prise en charge des diffi</w:t>
      </w:r>
      <w:r>
        <w:rPr>
          <w:rFonts w:ascii="Arial" w:hAnsi="Arial" w:cs="Arial"/>
          <w:sz w:val="20"/>
          <w:szCs w:val="20"/>
        </w:rPr>
        <w:t xml:space="preserve">cultés des élèves sera examinée </w:t>
      </w:r>
      <w:r w:rsidRPr="00016753">
        <w:rPr>
          <w:rFonts w:ascii="Arial" w:hAnsi="Arial" w:cs="Arial"/>
          <w:sz w:val="20"/>
          <w:szCs w:val="20"/>
        </w:rPr>
        <w:t>tout particulièrement. Cette analyse bénéficie de</w:t>
      </w:r>
      <w:r>
        <w:rPr>
          <w:rFonts w:ascii="Arial" w:hAnsi="Arial" w:cs="Arial"/>
          <w:sz w:val="20"/>
          <w:szCs w:val="20"/>
        </w:rPr>
        <w:t xml:space="preserve"> la réflexion de l’ensemble des </w:t>
      </w:r>
      <w:r w:rsidRPr="00016753">
        <w:rPr>
          <w:rFonts w:ascii="Arial" w:hAnsi="Arial" w:cs="Arial"/>
          <w:sz w:val="20"/>
          <w:szCs w:val="20"/>
        </w:rPr>
        <w:t xml:space="preserve">personnels de l’école, mais aussi de la perception par les élèves et les parents </w:t>
      </w:r>
      <w:r>
        <w:rPr>
          <w:rFonts w:ascii="Arial" w:hAnsi="Arial" w:cs="Arial"/>
          <w:sz w:val="20"/>
          <w:szCs w:val="20"/>
        </w:rPr>
        <w:t xml:space="preserve">de ce qui </w:t>
      </w:r>
      <w:r w:rsidRPr="00016753">
        <w:rPr>
          <w:rFonts w:ascii="Arial" w:hAnsi="Arial" w:cs="Arial"/>
          <w:sz w:val="20"/>
          <w:szCs w:val="20"/>
        </w:rPr>
        <w:t>est mis en place.</w:t>
      </w:r>
    </w:p>
    <w:p w:rsidR="00016753" w:rsidRPr="00016753" w:rsidRDefault="00016753" w:rsidP="0001675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16753">
        <w:rPr>
          <w:rFonts w:ascii="Arial" w:hAnsi="Arial" w:cs="Arial"/>
          <w:iCs/>
          <w:sz w:val="20"/>
          <w:szCs w:val="20"/>
        </w:rPr>
        <w:t>Organisation scolaire (modes de constitution des classes, organisation du temps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scolaire, coopération entre enseignants)</w:t>
      </w:r>
    </w:p>
    <w:p w:rsidR="00016753" w:rsidRPr="00016753" w:rsidRDefault="00016753" w:rsidP="0001675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16753">
        <w:rPr>
          <w:rFonts w:ascii="Arial" w:hAnsi="Arial" w:cs="Arial"/>
          <w:iCs/>
          <w:sz w:val="20"/>
          <w:szCs w:val="20"/>
        </w:rPr>
        <w:t>Priorités pédagogiques, expérimentations et pratiques collaboratives (projet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d’école, liaison maternelle-élémentaire, conseil école-collège, place des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apprentissages fondamentaux, pédagogie du jeu, motivations et impact des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expérimentations)</w:t>
      </w:r>
    </w:p>
    <w:p w:rsidR="00016753" w:rsidRPr="00016753" w:rsidRDefault="00016753" w:rsidP="0001675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16753">
        <w:rPr>
          <w:rFonts w:ascii="Arial" w:hAnsi="Arial" w:cs="Arial"/>
          <w:iCs/>
          <w:sz w:val="20"/>
          <w:szCs w:val="20"/>
        </w:rPr>
        <w:t>Choix pédagogiques en matière de pratiques évaluatives (priorités de l’école,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modalités d’évaluation, travail collaboratif, impact sur les pratiques et sur les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élèves, explicitation aux parents)</w:t>
      </w:r>
    </w:p>
    <w:p w:rsidR="00016753" w:rsidRPr="00016753" w:rsidRDefault="00016753" w:rsidP="0001675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16753">
        <w:rPr>
          <w:rFonts w:ascii="Arial" w:hAnsi="Arial" w:cs="Arial"/>
          <w:iCs/>
          <w:sz w:val="20"/>
          <w:szCs w:val="20"/>
        </w:rPr>
        <w:t>Parcours éducatifs (éducation artistique et culturelle, éducation au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développement durable, etc.)</w:t>
      </w:r>
    </w:p>
    <w:p w:rsidR="00016753" w:rsidRPr="00016753" w:rsidRDefault="00016753" w:rsidP="0001675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16753">
        <w:rPr>
          <w:rFonts w:ascii="Arial" w:hAnsi="Arial" w:cs="Arial"/>
          <w:iCs/>
          <w:sz w:val="20"/>
          <w:szCs w:val="20"/>
        </w:rPr>
        <w:t>Intervenants extérieurs (modalités d’intervention, articulation avec les projets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pédagogiques et impact)</w:t>
      </w:r>
    </w:p>
    <w:p w:rsidR="00016753" w:rsidRPr="00016753" w:rsidRDefault="00016753" w:rsidP="0001675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16753">
        <w:rPr>
          <w:rFonts w:ascii="Arial" w:hAnsi="Arial" w:cs="Arial"/>
          <w:iCs/>
          <w:sz w:val="20"/>
          <w:szCs w:val="20"/>
        </w:rPr>
        <w:t>Lien avec les activités périscolaires et effets éventuels sur les apprentissages et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Cs/>
          <w:sz w:val="20"/>
          <w:szCs w:val="20"/>
        </w:rPr>
        <w:t>les compétences des élèves</w:t>
      </w:r>
    </w:p>
    <w:p w:rsidR="00F17ACE" w:rsidRPr="004A1572" w:rsidRDefault="00F17ACE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75237" w:rsidRPr="004A1572" w:rsidRDefault="008D037A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572">
        <w:rPr>
          <w:rFonts w:ascii="Arial" w:hAnsi="Arial" w:cs="Arial"/>
          <w:b/>
          <w:sz w:val="20"/>
          <w:szCs w:val="20"/>
        </w:rPr>
        <w:t>Personnalisa</w:t>
      </w:r>
      <w:r w:rsidR="00016753">
        <w:rPr>
          <w:rFonts w:ascii="Arial" w:hAnsi="Arial" w:cs="Arial"/>
          <w:b/>
          <w:sz w:val="20"/>
          <w:szCs w:val="20"/>
        </w:rPr>
        <w:t>tion du suivi des élèves.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753" w:rsidRPr="00016753" w:rsidRDefault="00016753" w:rsidP="0001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6753">
        <w:rPr>
          <w:rFonts w:ascii="Arial" w:hAnsi="Arial" w:cs="Arial"/>
          <w:sz w:val="20"/>
          <w:szCs w:val="20"/>
        </w:rPr>
        <w:t>On s’intéresse ici à la diversité des élèves accueill</w:t>
      </w:r>
      <w:r>
        <w:rPr>
          <w:rFonts w:ascii="Arial" w:hAnsi="Arial" w:cs="Arial"/>
          <w:sz w:val="20"/>
          <w:szCs w:val="20"/>
        </w:rPr>
        <w:t xml:space="preserve">is </w:t>
      </w:r>
      <w:r w:rsidRPr="00016753">
        <w:rPr>
          <w:rFonts w:ascii="Arial" w:hAnsi="Arial" w:cs="Arial"/>
          <w:sz w:val="20"/>
          <w:szCs w:val="20"/>
        </w:rPr>
        <w:t xml:space="preserve">et à leur parcours au sein de l’école. Ce </w:t>
      </w:r>
      <w:r>
        <w:rPr>
          <w:rFonts w:ascii="Arial" w:hAnsi="Arial" w:cs="Arial"/>
          <w:sz w:val="20"/>
          <w:szCs w:val="20"/>
        </w:rPr>
        <w:t xml:space="preserve">thème croise deux domaines : la </w:t>
      </w:r>
      <w:r w:rsidRPr="00016753">
        <w:rPr>
          <w:rFonts w:ascii="Arial" w:hAnsi="Arial" w:cs="Arial"/>
          <w:sz w:val="20"/>
          <w:szCs w:val="20"/>
        </w:rPr>
        <w:t>personnalisation des apprentissages et du suivi et l’i</w:t>
      </w:r>
      <w:r>
        <w:rPr>
          <w:rFonts w:ascii="Arial" w:hAnsi="Arial" w:cs="Arial"/>
          <w:sz w:val="20"/>
          <w:szCs w:val="20"/>
        </w:rPr>
        <w:t xml:space="preserve">nclusion scolaire. La place des </w:t>
      </w:r>
      <w:r w:rsidRPr="00016753">
        <w:rPr>
          <w:rFonts w:ascii="Arial" w:hAnsi="Arial" w:cs="Arial"/>
          <w:sz w:val="20"/>
          <w:szCs w:val="20"/>
        </w:rPr>
        <w:t>élèves et des parents dans la construction et le suivi</w:t>
      </w:r>
      <w:r>
        <w:rPr>
          <w:rFonts w:ascii="Arial" w:hAnsi="Arial" w:cs="Arial"/>
          <w:sz w:val="20"/>
          <w:szCs w:val="20"/>
        </w:rPr>
        <w:t xml:space="preserve"> de ces parcours peut également </w:t>
      </w:r>
      <w:r w:rsidRPr="00016753">
        <w:rPr>
          <w:rFonts w:ascii="Arial" w:hAnsi="Arial" w:cs="Arial"/>
          <w:sz w:val="20"/>
          <w:szCs w:val="20"/>
        </w:rPr>
        <w:t>être interrogée.</w:t>
      </w:r>
    </w:p>
    <w:p w:rsidR="00016753" w:rsidRPr="00016753" w:rsidRDefault="00016753" w:rsidP="0001675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6753">
        <w:rPr>
          <w:rFonts w:ascii="Arial" w:hAnsi="Arial" w:cs="Arial"/>
          <w:i/>
          <w:iCs/>
          <w:sz w:val="20"/>
          <w:szCs w:val="20"/>
        </w:rPr>
        <w:t>Déroulement et accompagnement des parcours (orientation en SEGPA ou ULIS,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/>
          <w:iCs/>
          <w:sz w:val="20"/>
          <w:szCs w:val="20"/>
        </w:rPr>
        <w:t>raccourcissement ou allongement de cycle, impact de l’origine sociale et du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/>
          <w:iCs/>
          <w:sz w:val="20"/>
          <w:szCs w:val="20"/>
        </w:rPr>
        <w:t>genre des élèves, liaisons en réseau)</w:t>
      </w:r>
    </w:p>
    <w:p w:rsidR="00016753" w:rsidRPr="00016753" w:rsidRDefault="00016753" w:rsidP="0001675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6753">
        <w:rPr>
          <w:rFonts w:ascii="Arial" w:hAnsi="Arial" w:cs="Arial"/>
          <w:i/>
          <w:iCs/>
          <w:sz w:val="20"/>
          <w:szCs w:val="20"/>
        </w:rPr>
        <w:t>Aide aux élèves (Aménagement des parcours, accompagnement des élèves, aide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/>
          <w:iCs/>
          <w:sz w:val="20"/>
          <w:szCs w:val="20"/>
        </w:rPr>
        <w:t>spécialisée, programme personnalisés de réussite éducative, classes dédoublées,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/>
          <w:iCs/>
          <w:sz w:val="20"/>
          <w:szCs w:val="20"/>
        </w:rPr>
        <w:t>stages de réussite, vacances apprenantes)</w:t>
      </w:r>
    </w:p>
    <w:p w:rsidR="002613F9" w:rsidRPr="00016753" w:rsidRDefault="00016753" w:rsidP="0001675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6753">
        <w:rPr>
          <w:rFonts w:ascii="Arial" w:hAnsi="Arial" w:cs="Arial"/>
          <w:i/>
          <w:iCs/>
          <w:sz w:val="20"/>
          <w:szCs w:val="20"/>
        </w:rPr>
        <w:t>En lien avec le climat scolaire, organisation générale de l’inclusion scolaire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/>
          <w:iCs/>
          <w:sz w:val="20"/>
          <w:szCs w:val="20"/>
        </w:rPr>
        <w:t>(articulation de l’ULIS avec les temps d’inclusion, modalité d’information des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16753">
        <w:rPr>
          <w:rFonts w:ascii="Arial" w:hAnsi="Arial" w:cs="Arial"/>
          <w:i/>
          <w:iCs/>
          <w:sz w:val="20"/>
          <w:szCs w:val="20"/>
        </w:rPr>
        <w:t>parents)</w:t>
      </w:r>
    </w:p>
    <w:p w:rsidR="00016753" w:rsidRPr="004A1572" w:rsidRDefault="00016753" w:rsidP="000167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75237" w:rsidRPr="004A1572" w:rsidRDefault="008D037A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572">
        <w:rPr>
          <w:rFonts w:ascii="Arial" w:hAnsi="Arial" w:cs="Arial"/>
          <w:b/>
          <w:sz w:val="20"/>
          <w:szCs w:val="20"/>
        </w:rPr>
        <w:t>Pratiques dans un contexte dégradé ou de crise</w:t>
      </w:r>
      <w:r w:rsidRPr="004A1572">
        <w:rPr>
          <w:rFonts w:ascii="Arial" w:hAnsi="Arial" w:cs="Arial"/>
          <w:sz w:val="20"/>
          <w:szCs w:val="20"/>
        </w:rPr>
        <w:t>.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753" w:rsidRPr="00016753" w:rsidRDefault="00A20297" w:rsidP="00016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s’intéresse aux stratégies </w:t>
      </w:r>
      <w:r w:rsidR="00016753" w:rsidRPr="00016753">
        <w:rPr>
          <w:rFonts w:ascii="Arial" w:hAnsi="Arial" w:cs="Arial"/>
          <w:sz w:val="20"/>
          <w:szCs w:val="20"/>
        </w:rPr>
        <w:t xml:space="preserve">pédagogiques mises en </w:t>
      </w:r>
      <w:r w:rsidRPr="00016753">
        <w:rPr>
          <w:rFonts w:ascii="Arial" w:hAnsi="Arial" w:cs="Arial"/>
          <w:sz w:val="20"/>
          <w:szCs w:val="20"/>
        </w:rPr>
        <w:t>œuvre</w:t>
      </w:r>
      <w:r w:rsidR="00016753" w:rsidRPr="00016753">
        <w:rPr>
          <w:rFonts w:ascii="Arial" w:hAnsi="Arial" w:cs="Arial"/>
          <w:sz w:val="20"/>
          <w:szCs w:val="20"/>
        </w:rPr>
        <w:t xml:space="preserve"> dans le cadre d’un cont</w:t>
      </w:r>
      <w:r>
        <w:rPr>
          <w:rFonts w:ascii="Arial" w:hAnsi="Arial" w:cs="Arial"/>
          <w:sz w:val="20"/>
          <w:szCs w:val="20"/>
        </w:rPr>
        <w:t xml:space="preserve">exte de crise comme celui qui a </w:t>
      </w:r>
      <w:r w:rsidR="00016753" w:rsidRPr="00016753">
        <w:rPr>
          <w:rFonts w:ascii="Arial" w:hAnsi="Arial" w:cs="Arial"/>
          <w:sz w:val="20"/>
          <w:szCs w:val="20"/>
        </w:rPr>
        <w:t>été vécu en 2019-2020 et en 2020-2021. L’analyse des</w:t>
      </w:r>
      <w:r>
        <w:rPr>
          <w:rFonts w:ascii="Arial" w:hAnsi="Arial" w:cs="Arial"/>
          <w:sz w:val="20"/>
          <w:szCs w:val="20"/>
        </w:rPr>
        <w:t xml:space="preserve"> pratiques mises en jeu pendant </w:t>
      </w:r>
      <w:r w:rsidR="00016753" w:rsidRPr="00016753">
        <w:rPr>
          <w:rFonts w:ascii="Arial" w:hAnsi="Arial" w:cs="Arial"/>
          <w:sz w:val="20"/>
          <w:szCs w:val="20"/>
        </w:rPr>
        <w:t>cette période conduit à s’interroger sur la capacité colle</w:t>
      </w:r>
      <w:r>
        <w:rPr>
          <w:rFonts w:ascii="Arial" w:hAnsi="Arial" w:cs="Arial"/>
          <w:sz w:val="20"/>
          <w:szCs w:val="20"/>
        </w:rPr>
        <w:t xml:space="preserve">ctive à maintenir des relations </w:t>
      </w:r>
      <w:r w:rsidR="00016753" w:rsidRPr="00016753">
        <w:rPr>
          <w:rFonts w:ascii="Arial" w:hAnsi="Arial" w:cs="Arial"/>
          <w:sz w:val="20"/>
          <w:szCs w:val="20"/>
        </w:rPr>
        <w:t xml:space="preserve">avec les élèves et les familles, à poursuivre </w:t>
      </w:r>
      <w:r>
        <w:rPr>
          <w:rFonts w:ascii="Arial" w:hAnsi="Arial" w:cs="Arial"/>
          <w:sz w:val="20"/>
          <w:szCs w:val="20"/>
        </w:rPr>
        <w:t xml:space="preserve">des enseignements, à suivre les </w:t>
      </w:r>
      <w:r w:rsidR="00016753" w:rsidRPr="00016753">
        <w:rPr>
          <w:rFonts w:ascii="Arial" w:hAnsi="Arial" w:cs="Arial"/>
          <w:sz w:val="20"/>
          <w:szCs w:val="20"/>
        </w:rPr>
        <w:t>apprentissages des élèves et assurer leur accompagn</w:t>
      </w:r>
      <w:r>
        <w:rPr>
          <w:rFonts w:ascii="Arial" w:hAnsi="Arial" w:cs="Arial"/>
          <w:sz w:val="20"/>
          <w:szCs w:val="20"/>
        </w:rPr>
        <w:t xml:space="preserve">ement pédagogique, à développer </w:t>
      </w:r>
      <w:r w:rsidR="00016753" w:rsidRPr="00016753">
        <w:rPr>
          <w:rFonts w:ascii="Arial" w:hAnsi="Arial" w:cs="Arial"/>
          <w:sz w:val="20"/>
          <w:szCs w:val="20"/>
        </w:rPr>
        <w:t>des stratégies pédagogiques pertinentes et prom</w:t>
      </w:r>
      <w:r>
        <w:rPr>
          <w:rFonts w:ascii="Arial" w:hAnsi="Arial" w:cs="Arial"/>
          <w:sz w:val="20"/>
          <w:szCs w:val="20"/>
        </w:rPr>
        <w:t xml:space="preserve">ouvoir les usages du numérique. </w:t>
      </w:r>
      <w:r w:rsidR="00016753" w:rsidRPr="00016753">
        <w:rPr>
          <w:rFonts w:ascii="Arial" w:hAnsi="Arial" w:cs="Arial"/>
          <w:sz w:val="20"/>
          <w:szCs w:val="20"/>
        </w:rPr>
        <w:t>L’objectif est d’identifier ce qui, dans ce cadre particuli</w:t>
      </w:r>
      <w:r>
        <w:rPr>
          <w:rFonts w:ascii="Arial" w:hAnsi="Arial" w:cs="Arial"/>
          <w:sz w:val="20"/>
          <w:szCs w:val="20"/>
        </w:rPr>
        <w:t xml:space="preserve">er, a fonctionné mais aussi les </w:t>
      </w:r>
      <w:r w:rsidR="00016753" w:rsidRPr="00016753">
        <w:rPr>
          <w:rFonts w:ascii="Arial" w:hAnsi="Arial" w:cs="Arial"/>
          <w:sz w:val="20"/>
          <w:szCs w:val="20"/>
        </w:rPr>
        <w:t>ressources et outils qui ont manqué et les besoins de</w:t>
      </w:r>
      <w:r>
        <w:rPr>
          <w:rFonts w:ascii="Arial" w:hAnsi="Arial" w:cs="Arial"/>
          <w:sz w:val="20"/>
          <w:szCs w:val="20"/>
        </w:rPr>
        <w:t xml:space="preserve"> formation pour les personnels, </w:t>
      </w:r>
      <w:r w:rsidR="00016753" w:rsidRPr="00016753">
        <w:rPr>
          <w:rFonts w:ascii="Arial" w:hAnsi="Arial" w:cs="Arial"/>
          <w:sz w:val="20"/>
          <w:szCs w:val="20"/>
        </w:rPr>
        <w:t>pour les élèves et leurs familles en lien avec le</w:t>
      </w:r>
      <w:r>
        <w:rPr>
          <w:rFonts w:ascii="Arial" w:hAnsi="Arial" w:cs="Arial"/>
          <w:sz w:val="20"/>
          <w:szCs w:val="20"/>
        </w:rPr>
        <w:t xml:space="preserve">s moyens fournis ou les actions </w:t>
      </w:r>
      <w:r w:rsidR="00016753" w:rsidRPr="00016753">
        <w:rPr>
          <w:rFonts w:ascii="Arial" w:hAnsi="Arial" w:cs="Arial"/>
          <w:sz w:val="20"/>
          <w:szCs w:val="20"/>
        </w:rPr>
        <w:t>entreprises par l’État et la collectivité de rattachement.</w:t>
      </w:r>
    </w:p>
    <w:p w:rsidR="00016753" w:rsidRPr="00A20297" w:rsidRDefault="00016753" w:rsidP="00A2029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20297">
        <w:rPr>
          <w:rFonts w:ascii="Arial" w:hAnsi="Arial" w:cs="Arial"/>
          <w:iCs/>
          <w:sz w:val="20"/>
          <w:szCs w:val="20"/>
        </w:rPr>
        <w:t xml:space="preserve">Mise en </w:t>
      </w:r>
      <w:r w:rsidR="00A20297" w:rsidRPr="00A20297">
        <w:rPr>
          <w:rFonts w:ascii="Arial" w:hAnsi="Arial" w:cs="Arial"/>
          <w:iCs/>
          <w:sz w:val="20"/>
          <w:szCs w:val="20"/>
        </w:rPr>
        <w:t>œuvre</w:t>
      </w:r>
      <w:r w:rsidRPr="00A20297">
        <w:rPr>
          <w:rFonts w:ascii="Arial" w:hAnsi="Arial" w:cs="Arial"/>
          <w:iCs/>
          <w:sz w:val="20"/>
          <w:szCs w:val="20"/>
        </w:rPr>
        <w:t xml:space="preserve"> de la continuité pédagogique (organisation pédagogique, outils,</w:t>
      </w:r>
      <w:r w:rsidR="00A20297">
        <w:rPr>
          <w:rFonts w:ascii="Arial" w:hAnsi="Arial" w:cs="Arial"/>
          <w:iCs/>
          <w:sz w:val="20"/>
          <w:szCs w:val="20"/>
        </w:rPr>
        <w:t xml:space="preserve"> </w:t>
      </w:r>
      <w:r w:rsidRPr="00A20297">
        <w:rPr>
          <w:rFonts w:ascii="Arial" w:hAnsi="Arial" w:cs="Arial"/>
          <w:iCs/>
          <w:sz w:val="20"/>
          <w:szCs w:val="20"/>
        </w:rPr>
        <w:t>pratiques transférables, accompagnement, coordination, communication)</w:t>
      </w:r>
    </w:p>
    <w:p w:rsidR="00016753" w:rsidRPr="00A20297" w:rsidRDefault="00016753" w:rsidP="00A2029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20297">
        <w:rPr>
          <w:rFonts w:ascii="Arial" w:hAnsi="Arial" w:cs="Arial"/>
          <w:iCs/>
          <w:sz w:val="20"/>
          <w:szCs w:val="20"/>
        </w:rPr>
        <w:t>Prise en compte de la difficulté scolaire (actions en faveur des élèves et des</w:t>
      </w:r>
      <w:r w:rsidR="00A20297">
        <w:rPr>
          <w:rFonts w:ascii="Arial" w:hAnsi="Arial" w:cs="Arial"/>
          <w:iCs/>
          <w:sz w:val="20"/>
          <w:szCs w:val="20"/>
        </w:rPr>
        <w:t xml:space="preserve"> </w:t>
      </w:r>
      <w:r w:rsidRPr="00A20297">
        <w:rPr>
          <w:rFonts w:ascii="Arial" w:hAnsi="Arial" w:cs="Arial"/>
          <w:iCs/>
          <w:sz w:val="20"/>
          <w:szCs w:val="20"/>
        </w:rPr>
        <w:t>familles, lien aux collectivités locales)</w:t>
      </w:r>
    </w:p>
    <w:p w:rsidR="00375237" w:rsidRPr="00A20297" w:rsidRDefault="00016753" w:rsidP="00A2029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20297">
        <w:rPr>
          <w:rFonts w:ascii="Arial" w:hAnsi="Arial" w:cs="Arial"/>
          <w:iCs/>
          <w:sz w:val="20"/>
          <w:szCs w:val="20"/>
        </w:rPr>
        <w:t>Formation spécifique au contexte de crise (personnels, élèves, familles,</w:t>
      </w:r>
      <w:r w:rsidR="00A20297">
        <w:rPr>
          <w:rFonts w:ascii="Arial" w:hAnsi="Arial" w:cs="Arial"/>
          <w:iCs/>
          <w:sz w:val="20"/>
          <w:szCs w:val="20"/>
        </w:rPr>
        <w:t xml:space="preserve"> </w:t>
      </w:r>
      <w:r w:rsidRPr="00A20297">
        <w:rPr>
          <w:rFonts w:ascii="Arial" w:hAnsi="Arial" w:cs="Arial"/>
          <w:iCs/>
          <w:sz w:val="20"/>
          <w:szCs w:val="20"/>
        </w:rPr>
        <w:t>identification des besoins en formation, outils et ressources, ENT)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3F9" w:rsidRPr="004A1572" w:rsidRDefault="008D037A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572">
        <w:rPr>
          <w:rFonts w:ascii="Arial" w:hAnsi="Arial" w:cs="Arial"/>
          <w:b/>
          <w:sz w:val="20"/>
          <w:szCs w:val="20"/>
          <w:u w:val="single"/>
        </w:rPr>
        <w:t xml:space="preserve">Bilan du domaine 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613F9" w:rsidRPr="004A1572" w:rsidRDefault="008D037A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572">
        <w:rPr>
          <w:rFonts w:ascii="Arial" w:hAnsi="Arial" w:cs="Arial"/>
          <w:sz w:val="20"/>
          <w:szCs w:val="20"/>
        </w:rPr>
        <w:t>Le bilan porte sur les points suivants :</w:t>
      </w:r>
    </w:p>
    <w:p w:rsidR="00A20297" w:rsidRPr="00A20297" w:rsidRDefault="00A20297" w:rsidP="00A2029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97">
        <w:rPr>
          <w:rFonts w:ascii="Arial" w:hAnsi="Arial" w:cs="Arial"/>
          <w:sz w:val="20"/>
          <w:szCs w:val="20"/>
        </w:rPr>
        <w:t>Connaissance, analyse et appréciation par la communauté éducative des acquis et suivi</w:t>
      </w:r>
      <w:r>
        <w:rPr>
          <w:rFonts w:ascii="Arial" w:hAnsi="Arial" w:cs="Arial"/>
          <w:sz w:val="20"/>
          <w:szCs w:val="20"/>
        </w:rPr>
        <w:t xml:space="preserve"> </w:t>
      </w:r>
      <w:r w:rsidRPr="00A20297">
        <w:rPr>
          <w:rFonts w:ascii="Arial" w:hAnsi="Arial" w:cs="Arial"/>
          <w:sz w:val="20"/>
          <w:szCs w:val="20"/>
        </w:rPr>
        <w:t>des élèves. Points de tension ou de difficulté pour les élèves</w:t>
      </w:r>
    </w:p>
    <w:p w:rsidR="00A20297" w:rsidRPr="00A20297" w:rsidRDefault="00A20297" w:rsidP="00A2029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97">
        <w:rPr>
          <w:rFonts w:ascii="Arial" w:hAnsi="Arial" w:cs="Arial"/>
          <w:sz w:val="20"/>
          <w:szCs w:val="20"/>
        </w:rPr>
        <w:t>Organisation et actions pédagogiques entreprises (classe, école) et bilan (potentiel de</w:t>
      </w:r>
      <w:r>
        <w:rPr>
          <w:rFonts w:ascii="Arial" w:hAnsi="Arial" w:cs="Arial"/>
          <w:sz w:val="20"/>
          <w:szCs w:val="20"/>
        </w:rPr>
        <w:t xml:space="preserve"> </w:t>
      </w:r>
      <w:r w:rsidRPr="00A20297">
        <w:rPr>
          <w:rFonts w:ascii="Arial" w:hAnsi="Arial" w:cs="Arial"/>
          <w:sz w:val="20"/>
          <w:szCs w:val="20"/>
        </w:rPr>
        <w:t>l’école, réussites, marges de progression, leviers)</w:t>
      </w:r>
    </w:p>
    <w:p w:rsidR="00F17ACE" w:rsidRPr="00A20297" w:rsidRDefault="00A20297" w:rsidP="00A20297">
      <w:pPr>
        <w:pStyle w:val="Paragraphedeliste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20297">
        <w:rPr>
          <w:rFonts w:ascii="Arial" w:hAnsi="Arial" w:cs="Arial"/>
          <w:sz w:val="20"/>
          <w:szCs w:val="20"/>
        </w:rPr>
        <w:t>Plan d’action et de formation envisagé, effets et impact attendus</w:t>
      </w:r>
    </w:p>
    <w:sectPr w:rsidR="00F17ACE" w:rsidRPr="00A20297" w:rsidSect="006C7BB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5B"/>
    <w:multiLevelType w:val="hybridMultilevel"/>
    <w:tmpl w:val="17A2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5E5"/>
    <w:multiLevelType w:val="hybridMultilevel"/>
    <w:tmpl w:val="A4A27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7935"/>
    <w:multiLevelType w:val="hybridMultilevel"/>
    <w:tmpl w:val="56C4F96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F030B2F"/>
    <w:multiLevelType w:val="hybridMultilevel"/>
    <w:tmpl w:val="9CA4B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AFB"/>
    <w:multiLevelType w:val="hybridMultilevel"/>
    <w:tmpl w:val="F38E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82924"/>
    <w:multiLevelType w:val="hybridMultilevel"/>
    <w:tmpl w:val="F3269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431D2"/>
    <w:multiLevelType w:val="hybridMultilevel"/>
    <w:tmpl w:val="2AB2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07CE"/>
    <w:multiLevelType w:val="hybridMultilevel"/>
    <w:tmpl w:val="18C49C62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D861AE"/>
    <w:multiLevelType w:val="hybridMultilevel"/>
    <w:tmpl w:val="1A56AC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156E3"/>
    <w:multiLevelType w:val="hybridMultilevel"/>
    <w:tmpl w:val="937EC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46CBE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1FC7"/>
    <w:multiLevelType w:val="hybridMultilevel"/>
    <w:tmpl w:val="A25EA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819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0872"/>
    <w:multiLevelType w:val="hybridMultilevel"/>
    <w:tmpl w:val="70A2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B1854"/>
    <w:multiLevelType w:val="hybridMultilevel"/>
    <w:tmpl w:val="05E8E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10598"/>
    <w:multiLevelType w:val="multilevel"/>
    <w:tmpl w:val="A4D6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93A01"/>
    <w:multiLevelType w:val="hybridMultilevel"/>
    <w:tmpl w:val="0C78A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247AD"/>
    <w:multiLevelType w:val="hybridMultilevel"/>
    <w:tmpl w:val="11069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C4585"/>
    <w:multiLevelType w:val="hybridMultilevel"/>
    <w:tmpl w:val="6C440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87635"/>
    <w:multiLevelType w:val="hybridMultilevel"/>
    <w:tmpl w:val="35705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6"/>
  </w:num>
  <w:num w:numId="5">
    <w:abstractNumId w:val="17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3"/>
  </w:num>
  <w:num w:numId="11">
    <w:abstractNumId w:val="16"/>
  </w:num>
  <w:num w:numId="12">
    <w:abstractNumId w:val="0"/>
  </w:num>
  <w:num w:numId="13">
    <w:abstractNumId w:val="7"/>
  </w:num>
  <w:num w:numId="14">
    <w:abstractNumId w:val="2"/>
  </w:num>
  <w:num w:numId="15">
    <w:abstractNumId w:val="15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43"/>
    <w:rsid w:val="00011A4A"/>
    <w:rsid w:val="00016753"/>
    <w:rsid w:val="00086E02"/>
    <w:rsid w:val="000B201F"/>
    <w:rsid w:val="00133972"/>
    <w:rsid w:val="0013660A"/>
    <w:rsid w:val="00143139"/>
    <w:rsid w:val="001A5C35"/>
    <w:rsid w:val="002354BB"/>
    <w:rsid w:val="002613F9"/>
    <w:rsid w:val="00311761"/>
    <w:rsid w:val="00323785"/>
    <w:rsid w:val="00375237"/>
    <w:rsid w:val="003A1D0F"/>
    <w:rsid w:val="003A7AE3"/>
    <w:rsid w:val="003F4222"/>
    <w:rsid w:val="0040087E"/>
    <w:rsid w:val="0042617D"/>
    <w:rsid w:val="004A1572"/>
    <w:rsid w:val="00553D96"/>
    <w:rsid w:val="005D67A0"/>
    <w:rsid w:val="006C7BB9"/>
    <w:rsid w:val="006F1B51"/>
    <w:rsid w:val="00717167"/>
    <w:rsid w:val="00753228"/>
    <w:rsid w:val="0084163F"/>
    <w:rsid w:val="008666A6"/>
    <w:rsid w:val="00871F35"/>
    <w:rsid w:val="008D037A"/>
    <w:rsid w:val="00915120"/>
    <w:rsid w:val="0092645C"/>
    <w:rsid w:val="0093487C"/>
    <w:rsid w:val="00A20297"/>
    <w:rsid w:val="00A3473D"/>
    <w:rsid w:val="00A6041F"/>
    <w:rsid w:val="00A64B8E"/>
    <w:rsid w:val="00AC73F2"/>
    <w:rsid w:val="00AC7E2E"/>
    <w:rsid w:val="00B25B08"/>
    <w:rsid w:val="00BD4ACF"/>
    <w:rsid w:val="00CE4874"/>
    <w:rsid w:val="00DC1643"/>
    <w:rsid w:val="00DE25FF"/>
    <w:rsid w:val="00E25B8C"/>
    <w:rsid w:val="00E82BBC"/>
    <w:rsid w:val="00EE7861"/>
    <w:rsid w:val="00F17ACE"/>
    <w:rsid w:val="00F40841"/>
    <w:rsid w:val="00F52908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82B4"/>
  <w15:docId w15:val="{2B5275D7-6D65-47CD-B6CE-F73F308B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3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57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D6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Myriam Pichon-Dufourt</cp:lastModifiedBy>
  <cp:revision>9</cp:revision>
  <cp:lastPrinted>2020-09-28T18:16:00Z</cp:lastPrinted>
  <dcterms:created xsi:type="dcterms:W3CDTF">2021-09-15T11:12:00Z</dcterms:created>
  <dcterms:modified xsi:type="dcterms:W3CDTF">2022-03-09T16:02:00Z</dcterms:modified>
</cp:coreProperties>
</file>